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E2107" w14:textId="77777777" w:rsidR="00897DBB" w:rsidRDefault="0019662F" w:rsidP="0019662F">
      <w:pPr>
        <w:jc w:val="center"/>
        <w:rPr>
          <w:b/>
          <w:i/>
        </w:rPr>
      </w:pPr>
      <w:r>
        <w:rPr>
          <w:b/>
          <w:i/>
        </w:rPr>
        <w:t>Updating the Open Data Charter Principles – Expert Group participant</w:t>
      </w:r>
    </w:p>
    <w:p w14:paraId="6E85FA28" w14:textId="77777777" w:rsidR="0019662F" w:rsidRDefault="0019662F" w:rsidP="0019662F">
      <w:pPr>
        <w:rPr>
          <w:b/>
          <w:i/>
        </w:rPr>
      </w:pPr>
    </w:p>
    <w:p w14:paraId="24DAD0F6" w14:textId="77777777" w:rsidR="0019662F" w:rsidRDefault="0019662F" w:rsidP="0019662F">
      <w:pPr>
        <w:rPr>
          <w:b/>
          <w:i/>
        </w:rPr>
      </w:pPr>
      <w:r>
        <w:rPr>
          <w:b/>
          <w:i/>
        </w:rPr>
        <w:t>Introduction</w:t>
      </w:r>
    </w:p>
    <w:p w14:paraId="798F2DBA" w14:textId="77777777" w:rsidR="0019662F" w:rsidRDefault="0019662F" w:rsidP="0019662F">
      <w:pPr>
        <w:rPr>
          <w:b/>
          <w:i/>
        </w:rPr>
      </w:pPr>
    </w:p>
    <w:p w14:paraId="04DA39E7" w14:textId="77777777" w:rsidR="004F77CE" w:rsidRDefault="0019662F" w:rsidP="0019662F">
      <w:pPr>
        <w:widowControl w:val="0"/>
        <w:jc w:val="both"/>
        <w:rPr>
          <w:rFonts w:ascii="Arial" w:hAnsi="Arial" w:cs="Arial"/>
          <w:sz w:val="22"/>
          <w:szCs w:val="22"/>
        </w:rPr>
      </w:pPr>
      <w:r w:rsidRPr="0019662F">
        <w:rPr>
          <w:rFonts w:ascii="Arial" w:hAnsi="Arial" w:cs="Arial"/>
          <w:sz w:val="22"/>
          <w:szCs w:val="22"/>
        </w:rPr>
        <w:t xml:space="preserve">This document comprises the terms of reference for three Expert Groups being established by the Open Data Charter with support from the Implementation Working Group (IWG) to contribute their expertise on a voluntary basis to the review of the </w:t>
      </w:r>
      <w:hyperlink r:id="rId5">
        <w:r w:rsidRPr="0019662F">
          <w:rPr>
            <w:rFonts w:ascii="Arial" w:hAnsi="Arial" w:cs="Arial"/>
            <w:color w:val="1155CC"/>
            <w:sz w:val="22"/>
            <w:szCs w:val="22"/>
            <w:u w:val="single"/>
          </w:rPr>
          <w:t>Open Data Charter</w:t>
        </w:r>
      </w:hyperlink>
      <w:r w:rsidRPr="0019662F">
        <w:rPr>
          <w:rFonts w:ascii="Arial" w:hAnsi="Arial" w:cs="Arial"/>
          <w:sz w:val="22"/>
          <w:szCs w:val="22"/>
        </w:rPr>
        <w:t xml:space="preserve">’s six Principles </w:t>
      </w:r>
      <w:r>
        <w:rPr>
          <w:rFonts w:ascii="Arial" w:hAnsi="Arial" w:cs="Arial"/>
          <w:sz w:val="22"/>
          <w:szCs w:val="22"/>
        </w:rPr>
        <w:t>between June and</w:t>
      </w:r>
      <w:r w:rsidRPr="0019662F">
        <w:rPr>
          <w:rFonts w:ascii="Arial" w:hAnsi="Arial" w:cs="Arial"/>
          <w:sz w:val="22"/>
          <w:szCs w:val="22"/>
        </w:rPr>
        <w:t xml:space="preserve"> September 2018. The overall expected time commitment is 2-3 days, comprised of document review and drafting recommendations, interspersed with </w:t>
      </w:r>
      <w:r w:rsidR="004F77CE">
        <w:rPr>
          <w:rFonts w:ascii="Arial" w:hAnsi="Arial" w:cs="Arial"/>
          <w:sz w:val="22"/>
          <w:szCs w:val="22"/>
        </w:rPr>
        <w:t xml:space="preserve">2-3 </w:t>
      </w:r>
      <w:r w:rsidRPr="0019662F">
        <w:rPr>
          <w:rFonts w:ascii="Arial" w:hAnsi="Arial" w:cs="Arial"/>
          <w:sz w:val="22"/>
          <w:szCs w:val="22"/>
        </w:rPr>
        <w:t xml:space="preserve">virtual meetings. </w:t>
      </w:r>
    </w:p>
    <w:p w14:paraId="42EBF3D0" w14:textId="77777777" w:rsidR="004F77CE" w:rsidRDefault="004F77CE" w:rsidP="0019662F">
      <w:pPr>
        <w:widowControl w:val="0"/>
        <w:jc w:val="both"/>
        <w:rPr>
          <w:rFonts w:ascii="Arial" w:hAnsi="Arial" w:cs="Arial"/>
          <w:sz w:val="22"/>
          <w:szCs w:val="22"/>
        </w:rPr>
      </w:pPr>
    </w:p>
    <w:p w14:paraId="70F5426F" w14:textId="77777777" w:rsidR="0019662F" w:rsidRPr="0019662F" w:rsidRDefault="0019662F" w:rsidP="0019662F">
      <w:pPr>
        <w:widowControl w:val="0"/>
        <w:jc w:val="both"/>
        <w:rPr>
          <w:rFonts w:ascii="Arial" w:hAnsi="Arial" w:cs="Arial"/>
          <w:sz w:val="22"/>
          <w:szCs w:val="22"/>
        </w:rPr>
      </w:pPr>
      <w:r w:rsidRPr="0019662F">
        <w:rPr>
          <w:rFonts w:ascii="Arial" w:hAnsi="Arial" w:cs="Arial"/>
          <w:sz w:val="22"/>
          <w:szCs w:val="22"/>
        </w:rPr>
        <w:t>The Expert Groups will play a crucial role in contributing to the refreshing of a widely-adopted international normative standard that sets a high bar for its 60+ signatory governments around the world that are committed to opening up their data to promote greater transparency, openness, accountability and inclusion. Engagement with this process offers a unique opportunity to influence how governments worldwide are shaping their open data policies and the direction that the Charter will take over the next few years.</w:t>
      </w:r>
    </w:p>
    <w:p w14:paraId="0C028E4B" w14:textId="77777777" w:rsidR="0019662F" w:rsidRPr="0019662F" w:rsidRDefault="0019662F" w:rsidP="0019662F">
      <w:pPr>
        <w:rPr>
          <w:rFonts w:ascii="Arial" w:hAnsi="Arial" w:cs="Arial"/>
          <w:b/>
          <w:i/>
          <w:sz w:val="22"/>
          <w:szCs w:val="22"/>
        </w:rPr>
      </w:pPr>
    </w:p>
    <w:p w14:paraId="5919915C" w14:textId="77777777" w:rsidR="0019662F" w:rsidRDefault="0019662F" w:rsidP="0019662F">
      <w:pPr>
        <w:rPr>
          <w:b/>
          <w:i/>
        </w:rPr>
      </w:pPr>
      <w:r>
        <w:rPr>
          <w:b/>
          <w:i/>
        </w:rPr>
        <w:t>Background</w:t>
      </w:r>
    </w:p>
    <w:p w14:paraId="44EA6684" w14:textId="77777777" w:rsidR="0019662F" w:rsidRDefault="0019662F" w:rsidP="0019662F">
      <w:pPr>
        <w:rPr>
          <w:b/>
          <w:i/>
        </w:rPr>
      </w:pPr>
    </w:p>
    <w:p w14:paraId="6F6BA599" w14:textId="77777777" w:rsidR="004F77CE" w:rsidRPr="004F77CE" w:rsidRDefault="004F77CE" w:rsidP="004F77CE">
      <w:pPr>
        <w:widowControl w:val="0"/>
        <w:jc w:val="both"/>
        <w:rPr>
          <w:rFonts w:ascii="Arial" w:hAnsi="Arial" w:cs="Arial"/>
          <w:sz w:val="22"/>
          <w:szCs w:val="22"/>
        </w:rPr>
      </w:pPr>
      <w:r w:rsidRPr="004F77CE">
        <w:rPr>
          <w:rFonts w:ascii="Arial" w:hAnsi="Arial" w:cs="Arial"/>
          <w:sz w:val="22"/>
          <w:szCs w:val="22"/>
        </w:rPr>
        <w:t>The Open Data Charter is a collaboration between governments and experts working to open up data. It was founded in 2015 around six principles for how governments should be publishing information. The aspiration was that data should be open by default, timely and interoperable. More than 60 governments and organisations have now joined the movement. To ensure the Open Data Charter principles meet the expectations of adopting governments, the IWG will work with the Charter team to review and refresh the principles between April and September 2018. The revision process will review the existing six Charter principles:</w:t>
      </w:r>
    </w:p>
    <w:p w14:paraId="0FBCE202" w14:textId="77777777" w:rsidR="004F77CE" w:rsidRPr="004F77CE" w:rsidRDefault="004F77CE" w:rsidP="004F77CE">
      <w:pPr>
        <w:widowControl w:val="0"/>
        <w:jc w:val="both"/>
        <w:rPr>
          <w:rFonts w:ascii="Arial" w:hAnsi="Arial" w:cs="Arial"/>
          <w:sz w:val="22"/>
          <w:szCs w:val="22"/>
        </w:rPr>
      </w:pPr>
    </w:p>
    <w:p w14:paraId="5C373147" w14:textId="77777777" w:rsidR="004F77CE" w:rsidRPr="004F77CE" w:rsidRDefault="004F77CE" w:rsidP="004F77CE">
      <w:pPr>
        <w:pStyle w:val="ListParagraph"/>
        <w:widowControl w:val="0"/>
        <w:numPr>
          <w:ilvl w:val="0"/>
          <w:numId w:val="4"/>
        </w:numPr>
        <w:jc w:val="both"/>
        <w:rPr>
          <w:rFonts w:ascii="Arial" w:hAnsi="Arial" w:cs="Arial"/>
          <w:sz w:val="22"/>
          <w:szCs w:val="22"/>
        </w:rPr>
      </w:pPr>
      <w:r w:rsidRPr="004F77CE">
        <w:rPr>
          <w:rFonts w:ascii="Arial" w:hAnsi="Arial" w:cs="Arial"/>
          <w:sz w:val="22"/>
          <w:szCs w:val="22"/>
        </w:rPr>
        <w:t>Open by Default;</w:t>
      </w:r>
    </w:p>
    <w:p w14:paraId="4C6A66BB" w14:textId="77777777" w:rsidR="004F77CE" w:rsidRPr="004F77CE" w:rsidRDefault="004F77CE" w:rsidP="004F77CE">
      <w:pPr>
        <w:pStyle w:val="ListParagraph"/>
        <w:widowControl w:val="0"/>
        <w:numPr>
          <w:ilvl w:val="0"/>
          <w:numId w:val="4"/>
        </w:numPr>
        <w:jc w:val="both"/>
        <w:rPr>
          <w:rFonts w:ascii="Arial" w:hAnsi="Arial" w:cs="Arial"/>
          <w:sz w:val="22"/>
          <w:szCs w:val="22"/>
        </w:rPr>
      </w:pPr>
      <w:r w:rsidRPr="004F77CE">
        <w:rPr>
          <w:rFonts w:ascii="Arial" w:hAnsi="Arial" w:cs="Arial"/>
          <w:sz w:val="22"/>
          <w:szCs w:val="22"/>
        </w:rPr>
        <w:t xml:space="preserve">Timely and Comprehensive; </w:t>
      </w:r>
    </w:p>
    <w:p w14:paraId="28F3EA07" w14:textId="77777777" w:rsidR="004F77CE" w:rsidRPr="004F77CE" w:rsidRDefault="004F77CE" w:rsidP="004F77CE">
      <w:pPr>
        <w:pStyle w:val="ListParagraph"/>
        <w:widowControl w:val="0"/>
        <w:numPr>
          <w:ilvl w:val="0"/>
          <w:numId w:val="4"/>
        </w:numPr>
        <w:jc w:val="both"/>
        <w:rPr>
          <w:rFonts w:ascii="Arial" w:hAnsi="Arial" w:cs="Arial"/>
          <w:sz w:val="22"/>
          <w:szCs w:val="22"/>
        </w:rPr>
      </w:pPr>
      <w:r w:rsidRPr="004F77CE">
        <w:rPr>
          <w:rFonts w:ascii="Arial" w:hAnsi="Arial" w:cs="Arial"/>
          <w:sz w:val="22"/>
          <w:szCs w:val="22"/>
        </w:rPr>
        <w:t>Accessible and Usable;</w:t>
      </w:r>
    </w:p>
    <w:p w14:paraId="3065DD12" w14:textId="77777777" w:rsidR="004F77CE" w:rsidRPr="004F77CE" w:rsidRDefault="004F77CE" w:rsidP="004F77CE">
      <w:pPr>
        <w:pStyle w:val="ListParagraph"/>
        <w:widowControl w:val="0"/>
        <w:numPr>
          <w:ilvl w:val="0"/>
          <w:numId w:val="4"/>
        </w:numPr>
        <w:jc w:val="both"/>
        <w:rPr>
          <w:rFonts w:ascii="Arial" w:hAnsi="Arial" w:cs="Arial"/>
          <w:sz w:val="22"/>
          <w:szCs w:val="22"/>
        </w:rPr>
      </w:pPr>
      <w:r w:rsidRPr="004F77CE">
        <w:rPr>
          <w:rFonts w:ascii="Arial" w:hAnsi="Arial" w:cs="Arial"/>
          <w:sz w:val="22"/>
          <w:szCs w:val="22"/>
        </w:rPr>
        <w:t>Comparable and Interoperable;</w:t>
      </w:r>
    </w:p>
    <w:p w14:paraId="4EDEBCCD" w14:textId="77777777" w:rsidR="004F77CE" w:rsidRPr="004F77CE" w:rsidRDefault="004F77CE" w:rsidP="004F77CE">
      <w:pPr>
        <w:pStyle w:val="ListParagraph"/>
        <w:widowControl w:val="0"/>
        <w:numPr>
          <w:ilvl w:val="0"/>
          <w:numId w:val="4"/>
        </w:numPr>
        <w:jc w:val="both"/>
        <w:rPr>
          <w:rFonts w:ascii="Arial" w:hAnsi="Arial" w:cs="Arial"/>
          <w:sz w:val="22"/>
          <w:szCs w:val="22"/>
        </w:rPr>
      </w:pPr>
      <w:r w:rsidRPr="004F77CE">
        <w:rPr>
          <w:rFonts w:ascii="Arial" w:hAnsi="Arial" w:cs="Arial"/>
          <w:sz w:val="22"/>
          <w:szCs w:val="22"/>
        </w:rPr>
        <w:t>For Improved Governance and Citizen Engagement;</w:t>
      </w:r>
    </w:p>
    <w:p w14:paraId="51FDE654" w14:textId="77777777" w:rsidR="004F77CE" w:rsidRPr="004F77CE" w:rsidRDefault="004F77CE" w:rsidP="004F77CE">
      <w:pPr>
        <w:pStyle w:val="ListParagraph"/>
        <w:widowControl w:val="0"/>
        <w:numPr>
          <w:ilvl w:val="0"/>
          <w:numId w:val="4"/>
        </w:numPr>
        <w:jc w:val="both"/>
        <w:rPr>
          <w:rFonts w:ascii="Arial" w:hAnsi="Arial" w:cs="Arial"/>
          <w:sz w:val="22"/>
          <w:szCs w:val="22"/>
        </w:rPr>
      </w:pPr>
      <w:r w:rsidRPr="004F77CE">
        <w:rPr>
          <w:rFonts w:ascii="Arial" w:hAnsi="Arial" w:cs="Arial"/>
          <w:sz w:val="22"/>
          <w:szCs w:val="22"/>
        </w:rPr>
        <w:t>For Inclusive Development and Innovation;</w:t>
      </w:r>
    </w:p>
    <w:p w14:paraId="147A06E6" w14:textId="77777777" w:rsidR="004F77CE" w:rsidRPr="004F77CE" w:rsidRDefault="004F77CE" w:rsidP="004F77CE">
      <w:pPr>
        <w:widowControl w:val="0"/>
        <w:jc w:val="both"/>
        <w:rPr>
          <w:rFonts w:ascii="Arial" w:hAnsi="Arial" w:cs="Arial"/>
          <w:sz w:val="22"/>
          <w:szCs w:val="22"/>
        </w:rPr>
      </w:pPr>
    </w:p>
    <w:p w14:paraId="28676BFD" w14:textId="77777777" w:rsidR="004F77CE" w:rsidRPr="004F77CE" w:rsidRDefault="004F77CE" w:rsidP="004F77CE">
      <w:pPr>
        <w:widowControl w:val="0"/>
        <w:jc w:val="both"/>
        <w:rPr>
          <w:rFonts w:ascii="Arial" w:hAnsi="Arial" w:cs="Arial"/>
          <w:sz w:val="22"/>
          <w:szCs w:val="22"/>
        </w:rPr>
      </w:pPr>
      <w:r w:rsidRPr="004F77CE">
        <w:rPr>
          <w:rFonts w:ascii="Arial" w:hAnsi="Arial" w:cs="Arial"/>
          <w:sz w:val="22"/>
          <w:szCs w:val="22"/>
        </w:rPr>
        <w:t>through the prism of four emerging areas:</w:t>
      </w:r>
    </w:p>
    <w:p w14:paraId="22A698DC" w14:textId="77777777" w:rsidR="004F77CE" w:rsidRPr="004F77CE" w:rsidRDefault="004F77CE" w:rsidP="004F77CE">
      <w:pPr>
        <w:widowControl w:val="0"/>
        <w:jc w:val="both"/>
        <w:rPr>
          <w:rFonts w:ascii="Arial" w:hAnsi="Arial" w:cs="Arial"/>
          <w:sz w:val="22"/>
          <w:szCs w:val="22"/>
        </w:rPr>
      </w:pPr>
    </w:p>
    <w:p w14:paraId="6C43027E" w14:textId="77777777" w:rsidR="004F77CE" w:rsidRPr="004F77CE" w:rsidRDefault="004F77CE" w:rsidP="004F77CE">
      <w:pPr>
        <w:pStyle w:val="ListParagraph"/>
        <w:widowControl w:val="0"/>
        <w:numPr>
          <w:ilvl w:val="0"/>
          <w:numId w:val="5"/>
        </w:numPr>
        <w:jc w:val="both"/>
        <w:rPr>
          <w:rFonts w:ascii="Arial" w:hAnsi="Arial" w:cs="Arial"/>
          <w:sz w:val="22"/>
          <w:szCs w:val="22"/>
        </w:rPr>
      </w:pPr>
      <w:r w:rsidRPr="004F77CE">
        <w:rPr>
          <w:rFonts w:ascii="Arial" w:hAnsi="Arial" w:cs="Arial"/>
          <w:sz w:val="22"/>
          <w:szCs w:val="22"/>
        </w:rPr>
        <w:t>Publishing open data with purpose;</w:t>
      </w:r>
    </w:p>
    <w:p w14:paraId="61C37C0E" w14:textId="77777777" w:rsidR="004F77CE" w:rsidRPr="004F77CE" w:rsidRDefault="004F77CE" w:rsidP="004F77CE">
      <w:pPr>
        <w:pStyle w:val="ListParagraph"/>
        <w:widowControl w:val="0"/>
        <w:numPr>
          <w:ilvl w:val="0"/>
          <w:numId w:val="5"/>
        </w:numPr>
        <w:jc w:val="both"/>
        <w:rPr>
          <w:rFonts w:ascii="Arial" w:hAnsi="Arial" w:cs="Arial"/>
          <w:sz w:val="22"/>
          <w:szCs w:val="22"/>
        </w:rPr>
      </w:pPr>
      <w:r w:rsidRPr="004F77CE">
        <w:rPr>
          <w:rFonts w:ascii="Arial" w:hAnsi="Arial" w:cs="Arial"/>
          <w:sz w:val="22"/>
          <w:szCs w:val="22"/>
        </w:rPr>
        <w:t>Data privacy and protection;</w:t>
      </w:r>
    </w:p>
    <w:p w14:paraId="237B0EA9" w14:textId="77777777" w:rsidR="004F77CE" w:rsidRPr="004F77CE" w:rsidRDefault="004F77CE" w:rsidP="004F77CE">
      <w:pPr>
        <w:pStyle w:val="ListParagraph"/>
        <w:widowControl w:val="0"/>
        <w:numPr>
          <w:ilvl w:val="0"/>
          <w:numId w:val="5"/>
        </w:numPr>
        <w:jc w:val="both"/>
        <w:rPr>
          <w:rFonts w:ascii="Arial" w:hAnsi="Arial" w:cs="Arial"/>
          <w:sz w:val="22"/>
          <w:szCs w:val="22"/>
        </w:rPr>
      </w:pPr>
      <w:r w:rsidRPr="004F77CE">
        <w:rPr>
          <w:rFonts w:ascii="Arial" w:hAnsi="Arial" w:cs="Arial"/>
          <w:sz w:val="22"/>
          <w:szCs w:val="22"/>
        </w:rPr>
        <w:t>Building open data architectures; and</w:t>
      </w:r>
    </w:p>
    <w:p w14:paraId="42EE409C" w14:textId="77777777" w:rsidR="004F77CE" w:rsidRPr="004F77CE" w:rsidRDefault="004F77CE" w:rsidP="004F77CE">
      <w:pPr>
        <w:pStyle w:val="ListParagraph"/>
        <w:widowControl w:val="0"/>
        <w:numPr>
          <w:ilvl w:val="0"/>
          <w:numId w:val="5"/>
        </w:numPr>
        <w:jc w:val="both"/>
        <w:rPr>
          <w:rFonts w:ascii="Arial" w:hAnsi="Arial" w:cs="Arial"/>
          <w:sz w:val="22"/>
          <w:szCs w:val="22"/>
        </w:rPr>
      </w:pPr>
      <w:r w:rsidRPr="004F77CE">
        <w:rPr>
          <w:rFonts w:ascii="Arial" w:hAnsi="Arial" w:cs="Arial"/>
          <w:sz w:val="22"/>
          <w:szCs w:val="22"/>
        </w:rPr>
        <w:t>Openness in AI systems.</w:t>
      </w:r>
    </w:p>
    <w:p w14:paraId="49318AFF" w14:textId="77777777" w:rsidR="004F77CE" w:rsidRPr="004F77CE" w:rsidRDefault="004F77CE" w:rsidP="004F77CE">
      <w:pPr>
        <w:widowControl w:val="0"/>
        <w:jc w:val="both"/>
        <w:rPr>
          <w:rFonts w:ascii="Arial" w:hAnsi="Arial" w:cs="Arial"/>
          <w:sz w:val="22"/>
          <w:szCs w:val="22"/>
        </w:rPr>
      </w:pPr>
    </w:p>
    <w:p w14:paraId="0CAE28D0" w14:textId="77777777" w:rsidR="004F77CE" w:rsidRDefault="004F77CE" w:rsidP="004F77CE">
      <w:pPr>
        <w:widowControl w:val="0"/>
        <w:jc w:val="both"/>
        <w:rPr>
          <w:rFonts w:ascii="Arial" w:hAnsi="Arial" w:cs="Arial"/>
          <w:sz w:val="22"/>
          <w:szCs w:val="22"/>
        </w:rPr>
      </w:pPr>
      <w:r w:rsidRPr="004F77CE">
        <w:rPr>
          <w:rFonts w:ascii="Arial" w:hAnsi="Arial" w:cs="Arial"/>
          <w:sz w:val="22"/>
          <w:szCs w:val="22"/>
        </w:rPr>
        <w:t>The review process is comprised of three key stages:</w:t>
      </w:r>
    </w:p>
    <w:p w14:paraId="106074AE" w14:textId="77777777" w:rsidR="004F77CE" w:rsidRPr="004F77CE" w:rsidRDefault="004F77CE" w:rsidP="004F77CE">
      <w:pPr>
        <w:widowControl w:val="0"/>
        <w:jc w:val="both"/>
        <w:rPr>
          <w:rFonts w:ascii="Arial" w:hAnsi="Arial" w:cs="Arial"/>
          <w:sz w:val="22"/>
          <w:szCs w:val="22"/>
        </w:rPr>
      </w:pPr>
    </w:p>
    <w:p w14:paraId="5F68E4C4" w14:textId="77777777" w:rsidR="004F77CE" w:rsidRPr="004F77CE" w:rsidRDefault="004F77CE" w:rsidP="004F77CE">
      <w:pPr>
        <w:pStyle w:val="ListParagraph"/>
        <w:widowControl w:val="0"/>
        <w:numPr>
          <w:ilvl w:val="0"/>
          <w:numId w:val="6"/>
        </w:numPr>
        <w:jc w:val="both"/>
        <w:rPr>
          <w:rFonts w:ascii="Arial" w:hAnsi="Arial" w:cs="Arial"/>
          <w:sz w:val="22"/>
          <w:szCs w:val="22"/>
        </w:rPr>
      </w:pPr>
      <w:r w:rsidRPr="004F77CE">
        <w:rPr>
          <w:rFonts w:ascii="Arial" w:hAnsi="Arial" w:cs="Arial"/>
          <w:sz w:val="22"/>
          <w:szCs w:val="22"/>
        </w:rPr>
        <w:t>A global consultation process to retrieve feedback from stakeholders with an interest in open data issues to inform the review;</w:t>
      </w:r>
    </w:p>
    <w:p w14:paraId="561D1DD3" w14:textId="77777777" w:rsidR="004F77CE" w:rsidRPr="004F77CE" w:rsidRDefault="004F77CE" w:rsidP="004F77CE">
      <w:pPr>
        <w:pStyle w:val="ListParagraph"/>
        <w:widowControl w:val="0"/>
        <w:numPr>
          <w:ilvl w:val="0"/>
          <w:numId w:val="6"/>
        </w:numPr>
        <w:jc w:val="both"/>
        <w:rPr>
          <w:rFonts w:ascii="Arial" w:hAnsi="Arial" w:cs="Arial"/>
          <w:sz w:val="22"/>
          <w:szCs w:val="22"/>
        </w:rPr>
      </w:pPr>
      <w:r w:rsidRPr="004F77CE">
        <w:rPr>
          <w:rFonts w:ascii="Arial" w:hAnsi="Arial" w:cs="Arial"/>
          <w:sz w:val="22"/>
          <w:szCs w:val="22"/>
        </w:rPr>
        <w:t>The establishment of three ad hoc Expert Groups to consider the feedback received through the consultation process and develop recommendations for the IWG and Charter secretariat to review at the 2018 International Open Data Conference in Argentina; and</w:t>
      </w:r>
    </w:p>
    <w:p w14:paraId="360E13B3" w14:textId="77777777" w:rsidR="004F77CE" w:rsidRPr="004F77CE" w:rsidRDefault="004F77CE" w:rsidP="004F77CE">
      <w:pPr>
        <w:pStyle w:val="ListParagraph"/>
        <w:widowControl w:val="0"/>
        <w:numPr>
          <w:ilvl w:val="0"/>
          <w:numId w:val="6"/>
        </w:numPr>
        <w:jc w:val="both"/>
        <w:rPr>
          <w:rFonts w:ascii="Arial" w:hAnsi="Arial" w:cs="Arial"/>
          <w:sz w:val="22"/>
          <w:szCs w:val="22"/>
        </w:rPr>
      </w:pPr>
      <w:r w:rsidRPr="004F77CE">
        <w:rPr>
          <w:rFonts w:ascii="Arial" w:hAnsi="Arial" w:cs="Arial"/>
          <w:sz w:val="22"/>
          <w:szCs w:val="22"/>
        </w:rPr>
        <w:t xml:space="preserve">The presentation of final recommendations for approval of the Charter Advisory Board. </w:t>
      </w:r>
    </w:p>
    <w:p w14:paraId="55169105" w14:textId="77777777" w:rsidR="004F77CE" w:rsidRPr="004F77CE" w:rsidRDefault="004F77CE" w:rsidP="004F77CE">
      <w:pPr>
        <w:widowControl w:val="0"/>
        <w:jc w:val="both"/>
        <w:rPr>
          <w:rFonts w:ascii="Arial" w:hAnsi="Arial" w:cs="Arial"/>
          <w:sz w:val="22"/>
          <w:szCs w:val="22"/>
        </w:rPr>
      </w:pPr>
    </w:p>
    <w:p w14:paraId="5DC6423C" w14:textId="77777777" w:rsidR="004F77CE" w:rsidRDefault="004F77CE" w:rsidP="004F77CE">
      <w:pPr>
        <w:widowControl w:val="0"/>
        <w:jc w:val="both"/>
        <w:rPr>
          <w:rFonts w:ascii="Arial" w:hAnsi="Arial" w:cs="Arial"/>
          <w:sz w:val="22"/>
          <w:szCs w:val="22"/>
        </w:rPr>
      </w:pPr>
      <w:r w:rsidRPr="004F77CE">
        <w:rPr>
          <w:rFonts w:ascii="Arial" w:hAnsi="Arial" w:cs="Arial"/>
          <w:sz w:val="22"/>
          <w:szCs w:val="22"/>
        </w:rPr>
        <w:t>This TOR refers to stage 2 specifically.</w:t>
      </w:r>
    </w:p>
    <w:p w14:paraId="19E7D456" w14:textId="77777777" w:rsidR="004F77CE" w:rsidRDefault="004F77CE" w:rsidP="004F77CE">
      <w:pPr>
        <w:spacing w:after="200"/>
        <w:jc w:val="both"/>
        <w:rPr>
          <w:b/>
          <w:i/>
          <w:sz w:val="20"/>
          <w:szCs w:val="20"/>
        </w:rPr>
      </w:pPr>
    </w:p>
    <w:p w14:paraId="6DC9A73A" w14:textId="77777777" w:rsidR="004F77CE" w:rsidRPr="004F77CE" w:rsidRDefault="004F77CE" w:rsidP="004F77CE">
      <w:pPr>
        <w:spacing w:after="200"/>
        <w:jc w:val="both"/>
        <w:rPr>
          <w:rFonts w:ascii="Arial" w:hAnsi="Arial" w:cs="Arial"/>
          <w:b/>
          <w:i/>
          <w:sz w:val="22"/>
          <w:szCs w:val="22"/>
        </w:rPr>
      </w:pPr>
      <w:r w:rsidRPr="004F77CE">
        <w:rPr>
          <w:rFonts w:ascii="Arial" w:hAnsi="Arial" w:cs="Arial"/>
          <w:b/>
          <w:i/>
          <w:sz w:val="22"/>
          <w:szCs w:val="22"/>
        </w:rPr>
        <w:lastRenderedPageBreak/>
        <w:t>Objective</w:t>
      </w:r>
    </w:p>
    <w:p w14:paraId="6C2160EA" w14:textId="77777777" w:rsidR="004F77CE" w:rsidRPr="004F77CE" w:rsidRDefault="004F77CE" w:rsidP="004F77CE">
      <w:pPr>
        <w:spacing w:after="200"/>
        <w:jc w:val="both"/>
        <w:rPr>
          <w:rFonts w:ascii="Arial" w:hAnsi="Arial" w:cs="Arial"/>
          <w:sz w:val="22"/>
          <w:szCs w:val="22"/>
        </w:rPr>
      </w:pPr>
      <w:r w:rsidRPr="004F77CE">
        <w:rPr>
          <w:rFonts w:ascii="Arial" w:hAnsi="Arial" w:cs="Arial"/>
          <w:sz w:val="22"/>
          <w:szCs w:val="22"/>
        </w:rPr>
        <w:t>The intended objective of establishing three Expert Groups is to leverage the specialist knowledge and expertise of a wide range of individuals who have a proven passion for, and commitment to, the aims and objectives of the open data community and Charter principles. The Expert Groups will play a key mediatory role in informing what amendments should be made to the Charter’s existing principles.</w:t>
      </w:r>
    </w:p>
    <w:p w14:paraId="578FF328" w14:textId="77777777" w:rsidR="004F77CE" w:rsidRPr="004F77CE" w:rsidRDefault="004F77CE" w:rsidP="004F77CE">
      <w:pPr>
        <w:spacing w:after="200"/>
        <w:jc w:val="both"/>
        <w:rPr>
          <w:rFonts w:ascii="Arial" w:hAnsi="Arial" w:cs="Arial"/>
          <w:b/>
          <w:i/>
          <w:sz w:val="22"/>
          <w:szCs w:val="22"/>
        </w:rPr>
      </w:pPr>
      <w:r w:rsidRPr="004F77CE">
        <w:rPr>
          <w:rFonts w:ascii="Arial" w:hAnsi="Arial" w:cs="Arial"/>
          <w:b/>
          <w:i/>
          <w:sz w:val="22"/>
          <w:szCs w:val="22"/>
        </w:rPr>
        <w:t>Organisation of work</w:t>
      </w:r>
    </w:p>
    <w:p w14:paraId="48703300" w14:textId="77777777" w:rsidR="00A13E2D" w:rsidRDefault="004F77CE" w:rsidP="004F77CE">
      <w:pPr>
        <w:spacing w:after="200"/>
        <w:jc w:val="both"/>
        <w:rPr>
          <w:rFonts w:ascii="Arial" w:hAnsi="Arial" w:cs="Arial"/>
          <w:sz w:val="22"/>
          <w:szCs w:val="22"/>
        </w:rPr>
      </w:pPr>
      <w:r w:rsidRPr="004F77CE">
        <w:rPr>
          <w:rFonts w:ascii="Arial" w:hAnsi="Arial" w:cs="Arial"/>
          <w:sz w:val="22"/>
          <w:szCs w:val="22"/>
        </w:rPr>
        <w:t>The work of the Expert Groups shall be coordinated and led by the Chairs of the three Groups</w:t>
      </w:r>
      <w:r w:rsidR="00A13E2D">
        <w:rPr>
          <w:rFonts w:ascii="Arial" w:hAnsi="Arial" w:cs="Arial"/>
          <w:sz w:val="22"/>
          <w:szCs w:val="22"/>
        </w:rPr>
        <w:t>:</w:t>
      </w:r>
    </w:p>
    <w:tbl>
      <w:tblPr>
        <w:tblStyle w:val="TableGrid"/>
        <w:tblW w:w="0" w:type="auto"/>
        <w:tblLook w:val="04A0" w:firstRow="1" w:lastRow="0" w:firstColumn="1" w:lastColumn="0" w:noHBand="0" w:noVBand="1"/>
      </w:tblPr>
      <w:tblGrid>
        <w:gridCol w:w="3003"/>
        <w:gridCol w:w="6007"/>
      </w:tblGrid>
      <w:tr w:rsidR="00A13E2D" w14:paraId="08472596" w14:textId="77777777" w:rsidTr="005F21DD">
        <w:tc>
          <w:tcPr>
            <w:tcW w:w="3003" w:type="dxa"/>
          </w:tcPr>
          <w:p w14:paraId="13616F4E" w14:textId="77777777" w:rsidR="00A13E2D" w:rsidRPr="00A13E2D" w:rsidRDefault="00A13E2D" w:rsidP="004F77CE">
            <w:pPr>
              <w:spacing w:after="200"/>
              <w:jc w:val="both"/>
              <w:rPr>
                <w:rFonts w:ascii="Arial" w:hAnsi="Arial" w:cs="Arial"/>
                <w:b/>
                <w:sz w:val="22"/>
                <w:szCs w:val="22"/>
              </w:rPr>
            </w:pPr>
            <w:r>
              <w:rPr>
                <w:rFonts w:ascii="Arial" w:hAnsi="Arial" w:cs="Arial"/>
                <w:b/>
                <w:sz w:val="22"/>
                <w:szCs w:val="22"/>
              </w:rPr>
              <w:t>Thematic Area/Groups</w:t>
            </w:r>
          </w:p>
        </w:tc>
        <w:tc>
          <w:tcPr>
            <w:tcW w:w="6007" w:type="dxa"/>
          </w:tcPr>
          <w:p w14:paraId="1BF7B0D2" w14:textId="77777777" w:rsidR="00A13E2D" w:rsidRPr="00A13E2D" w:rsidRDefault="00A13E2D" w:rsidP="004F77CE">
            <w:pPr>
              <w:spacing w:after="200"/>
              <w:jc w:val="both"/>
              <w:rPr>
                <w:rFonts w:ascii="Arial" w:hAnsi="Arial" w:cs="Arial"/>
                <w:b/>
                <w:sz w:val="22"/>
                <w:szCs w:val="22"/>
              </w:rPr>
            </w:pPr>
            <w:r>
              <w:rPr>
                <w:rFonts w:ascii="Arial" w:hAnsi="Arial" w:cs="Arial"/>
                <w:b/>
                <w:sz w:val="22"/>
                <w:szCs w:val="22"/>
              </w:rPr>
              <w:t>Co-Chairs</w:t>
            </w:r>
          </w:p>
        </w:tc>
      </w:tr>
      <w:tr w:rsidR="00A13E2D" w14:paraId="4FDAF0FD" w14:textId="77777777" w:rsidTr="003A029A">
        <w:tc>
          <w:tcPr>
            <w:tcW w:w="3003" w:type="dxa"/>
          </w:tcPr>
          <w:p w14:paraId="2C798EEF" w14:textId="77777777" w:rsidR="00A13E2D" w:rsidRDefault="00A13E2D" w:rsidP="004F77CE">
            <w:pPr>
              <w:spacing w:after="200"/>
              <w:jc w:val="both"/>
              <w:rPr>
                <w:rFonts w:ascii="Arial" w:hAnsi="Arial" w:cs="Arial"/>
                <w:sz w:val="22"/>
                <w:szCs w:val="22"/>
              </w:rPr>
            </w:pPr>
            <w:r>
              <w:rPr>
                <w:rFonts w:ascii="Arial" w:hAnsi="Arial" w:cs="Arial"/>
                <w:sz w:val="22"/>
                <w:szCs w:val="22"/>
              </w:rPr>
              <w:t>Group 1: Open by Default</w:t>
            </w:r>
          </w:p>
        </w:tc>
        <w:tc>
          <w:tcPr>
            <w:tcW w:w="6007" w:type="dxa"/>
          </w:tcPr>
          <w:p w14:paraId="4E6D3D71" w14:textId="77777777" w:rsidR="00A13E2D" w:rsidRDefault="00A13E2D" w:rsidP="004F77CE">
            <w:pPr>
              <w:spacing w:after="200"/>
              <w:jc w:val="both"/>
              <w:rPr>
                <w:rFonts w:ascii="Arial" w:hAnsi="Arial" w:cs="Arial"/>
                <w:sz w:val="22"/>
                <w:szCs w:val="22"/>
              </w:rPr>
            </w:pPr>
            <w:r>
              <w:rPr>
                <w:rFonts w:ascii="Arial" w:hAnsi="Arial" w:cs="Arial"/>
                <w:sz w:val="22"/>
                <w:szCs w:val="22"/>
              </w:rPr>
              <w:t xml:space="preserve">Helen </w:t>
            </w:r>
            <w:proofErr w:type="spellStart"/>
            <w:r>
              <w:rPr>
                <w:rFonts w:ascii="Arial" w:hAnsi="Arial" w:cs="Arial"/>
                <w:sz w:val="22"/>
                <w:szCs w:val="22"/>
              </w:rPr>
              <w:t>Darbishire</w:t>
            </w:r>
            <w:proofErr w:type="spellEnd"/>
            <w:r>
              <w:rPr>
                <w:rFonts w:ascii="Arial" w:hAnsi="Arial" w:cs="Arial"/>
                <w:sz w:val="22"/>
                <w:szCs w:val="22"/>
              </w:rPr>
              <w:t xml:space="preserve"> (Access Info), Jose M. Alonso (Web Foundation)</w:t>
            </w:r>
          </w:p>
        </w:tc>
      </w:tr>
      <w:tr w:rsidR="00A13E2D" w14:paraId="59C6529E" w14:textId="77777777" w:rsidTr="006427E8">
        <w:tc>
          <w:tcPr>
            <w:tcW w:w="3003" w:type="dxa"/>
          </w:tcPr>
          <w:p w14:paraId="1D5C0B0E" w14:textId="77777777" w:rsidR="00A13E2D" w:rsidRDefault="00A13E2D" w:rsidP="004F77CE">
            <w:pPr>
              <w:spacing w:after="200"/>
              <w:jc w:val="both"/>
              <w:rPr>
                <w:rFonts w:ascii="Arial" w:hAnsi="Arial" w:cs="Arial"/>
                <w:sz w:val="22"/>
                <w:szCs w:val="22"/>
              </w:rPr>
            </w:pPr>
            <w:r>
              <w:rPr>
                <w:rFonts w:ascii="Arial" w:hAnsi="Arial" w:cs="Arial"/>
                <w:sz w:val="22"/>
                <w:szCs w:val="22"/>
              </w:rPr>
              <w:t>Group 2: Data Infrastructure</w:t>
            </w:r>
          </w:p>
        </w:tc>
        <w:tc>
          <w:tcPr>
            <w:tcW w:w="6007" w:type="dxa"/>
          </w:tcPr>
          <w:p w14:paraId="6F20D633" w14:textId="77777777" w:rsidR="00A13E2D" w:rsidRDefault="00A13E2D" w:rsidP="004F77CE">
            <w:pPr>
              <w:spacing w:after="200"/>
              <w:jc w:val="both"/>
              <w:rPr>
                <w:rFonts w:ascii="Arial" w:hAnsi="Arial" w:cs="Arial"/>
                <w:sz w:val="22"/>
                <w:szCs w:val="22"/>
              </w:rPr>
            </w:pPr>
            <w:r>
              <w:rPr>
                <w:rFonts w:ascii="Arial" w:hAnsi="Arial" w:cs="Arial"/>
                <w:sz w:val="22"/>
                <w:szCs w:val="22"/>
              </w:rPr>
              <w:t xml:space="preserve">Barbara </w:t>
            </w:r>
            <w:proofErr w:type="spellStart"/>
            <w:r>
              <w:rPr>
                <w:rFonts w:ascii="Arial" w:hAnsi="Arial" w:cs="Arial"/>
                <w:sz w:val="22"/>
                <w:szCs w:val="22"/>
              </w:rPr>
              <w:t>Ubaldi</w:t>
            </w:r>
            <w:proofErr w:type="spellEnd"/>
            <w:r>
              <w:rPr>
                <w:rFonts w:ascii="Arial" w:hAnsi="Arial" w:cs="Arial"/>
                <w:sz w:val="22"/>
                <w:szCs w:val="22"/>
              </w:rPr>
              <w:t xml:space="preserve"> (OECD), Sander van der Waal (OKFN)</w:t>
            </w:r>
          </w:p>
        </w:tc>
      </w:tr>
      <w:tr w:rsidR="00A13E2D" w14:paraId="7338E5A8" w14:textId="77777777" w:rsidTr="004015DE">
        <w:tc>
          <w:tcPr>
            <w:tcW w:w="3003" w:type="dxa"/>
          </w:tcPr>
          <w:p w14:paraId="285C6D6A" w14:textId="77777777" w:rsidR="00A13E2D" w:rsidRDefault="00A13E2D" w:rsidP="004F77CE">
            <w:pPr>
              <w:spacing w:after="200"/>
              <w:jc w:val="both"/>
              <w:rPr>
                <w:rFonts w:ascii="Arial" w:hAnsi="Arial" w:cs="Arial"/>
                <w:sz w:val="22"/>
                <w:szCs w:val="22"/>
              </w:rPr>
            </w:pPr>
            <w:r>
              <w:rPr>
                <w:rFonts w:ascii="Arial" w:hAnsi="Arial" w:cs="Arial"/>
                <w:sz w:val="22"/>
                <w:szCs w:val="22"/>
              </w:rPr>
              <w:t>Group 3: Publication with Purpose</w:t>
            </w:r>
          </w:p>
        </w:tc>
        <w:tc>
          <w:tcPr>
            <w:tcW w:w="6007" w:type="dxa"/>
          </w:tcPr>
          <w:p w14:paraId="7CDE3234" w14:textId="77777777" w:rsidR="00A13E2D" w:rsidRDefault="00A13E2D" w:rsidP="004F77CE">
            <w:pPr>
              <w:spacing w:after="200"/>
              <w:jc w:val="both"/>
              <w:rPr>
                <w:rFonts w:ascii="Arial" w:hAnsi="Arial" w:cs="Arial"/>
                <w:sz w:val="22"/>
                <w:szCs w:val="22"/>
              </w:rPr>
            </w:pPr>
            <w:r>
              <w:rPr>
                <w:rFonts w:ascii="Arial" w:hAnsi="Arial" w:cs="Arial"/>
                <w:sz w:val="22"/>
                <w:szCs w:val="22"/>
              </w:rPr>
              <w:t xml:space="preserve">Martin </w:t>
            </w:r>
            <w:proofErr w:type="spellStart"/>
            <w:r>
              <w:rPr>
                <w:rFonts w:ascii="Arial" w:hAnsi="Arial" w:cs="Arial"/>
                <w:sz w:val="22"/>
                <w:szCs w:val="22"/>
              </w:rPr>
              <w:t>Alalu</w:t>
            </w:r>
            <w:proofErr w:type="spellEnd"/>
            <w:r>
              <w:rPr>
                <w:rFonts w:ascii="Arial" w:hAnsi="Arial" w:cs="Arial"/>
                <w:sz w:val="22"/>
                <w:szCs w:val="22"/>
              </w:rPr>
              <w:t xml:space="preserve"> (Buenos Aires Province Government), Cathie </w:t>
            </w:r>
            <w:proofErr w:type="spellStart"/>
            <w:r>
              <w:rPr>
                <w:rFonts w:ascii="Arial" w:hAnsi="Arial" w:cs="Arial"/>
                <w:sz w:val="22"/>
                <w:szCs w:val="22"/>
              </w:rPr>
              <w:t>Woteki</w:t>
            </w:r>
            <w:proofErr w:type="spellEnd"/>
            <w:r>
              <w:rPr>
                <w:rFonts w:ascii="Arial" w:hAnsi="Arial" w:cs="Arial"/>
                <w:sz w:val="22"/>
                <w:szCs w:val="22"/>
              </w:rPr>
              <w:t xml:space="preserve"> (Professor, Iowa State University)</w:t>
            </w:r>
          </w:p>
        </w:tc>
      </w:tr>
    </w:tbl>
    <w:p w14:paraId="68CF461B" w14:textId="77777777" w:rsidR="00A13E2D" w:rsidRDefault="00A13E2D" w:rsidP="004F77CE">
      <w:pPr>
        <w:spacing w:after="200"/>
        <w:jc w:val="both"/>
        <w:rPr>
          <w:rFonts w:ascii="Arial" w:hAnsi="Arial" w:cs="Arial"/>
          <w:sz w:val="22"/>
          <w:szCs w:val="22"/>
        </w:rPr>
      </w:pPr>
    </w:p>
    <w:p w14:paraId="72C15F2F" w14:textId="77777777" w:rsidR="00A97CC6" w:rsidRDefault="00A97CC6" w:rsidP="004F77CE">
      <w:pPr>
        <w:spacing w:after="200"/>
        <w:jc w:val="both"/>
        <w:rPr>
          <w:rFonts w:ascii="Arial" w:hAnsi="Arial" w:cs="Arial"/>
          <w:sz w:val="22"/>
          <w:szCs w:val="22"/>
        </w:rPr>
      </w:pPr>
      <w:r>
        <w:rPr>
          <w:rFonts w:ascii="Arial" w:hAnsi="Arial" w:cs="Arial"/>
          <w:sz w:val="22"/>
          <w:szCs w:val="22"/>
        </w:rPr>
        <w:t>Each Group shall be comprised of 8-12 experts, selected by Group Co-Chairs with input and support from the Open Data Charter and its Implementation Working Group. Expert groups will be provided with structured information extracted from the global consultation and organised by thematic area (see attached reporting template). This will be used to frame and guide their deliberative process.</w:t>
      </w:r>
    </w:p>
    <w:p w14:paraId="7F6D850F" w14:textId="77777777" w:rsidR="004F77CE" w:rsidRPr="004F77CE" w:rsidRDefault="004F77CE" w:rsidP="004F77CE">
      <w:pPr>
        <w:spacing w:after="200"/>
        <w:jc w:val="both"/>
        <w:rPr>
          <w:rFonts w:ascii="Arial" w:hAnsi="Arial" w:cs="Arial"/>
          <w:b/>
          <w:i/>
          <w:sz w:val="22"/>
          <w:szCs w:val="22"/>
        </w:rPr>
      </w:pPr>
      <w:r w:rsidRPr="004F77CE">
        <w:rPr>
          <w:rFonts w:ascii="Arial" w:hAnsi="Arial" w:cs="Arial"/>
          <w:b/>
          <w:i/>
          <w:sz w:val="22"/>
          <w:szCs w:val="22"/>
        </w:rPr>
        <w:t>Required Outputs</w:t>
      </w:r>
    </w:p>
    <w:p w14:paraId="27967B60" w14:textId="77777777" w:rsidR="004F77CE" w:rsidRPr="004F77CE" w:rsidRDefault="004F77CE" w:rsidP="004F77CE">
      <w:pPr>
        <w:spacing w:after="200"/>
        <w:jc w:val="both"/>
        <w:rPr>
          <w:rFonts w:ascii="Arial" w:hAnsi="Arial" w:cs="Arial"/>
          <w:b/>
          <w:i/>
          <w:sz w:val="22"/>
          <w:szCs w:val="22"/>
        </w:rPr>
      </w:pPr>
      <w:r w:rsidRPr="004F77CE">
        <w:rPr>
          <w:rFonts w:ascii="Arial" w:hAnsi="Arial" w:cs="Arial"/>
          <w:sz w:val="22"/>
          <w:szCs w:val="22"/>
        </w:rPr>
        <w:t xml:space="preserve">The main output expected from each Group shall be an actionable list of recommendations (from suggested textual amendments upwards) to their target Principle (see Areas of Focus below); to be produced no later than </w:t>
      </w:r>
      <w:r w:rsidR="00A24702">
        <w:rPr>
          <w:rFonts w:ascii="Arial" w:hAnsi="Arial" w:cs="Arial"/>
          <w:b/>
          <w:sz w:val="22"/>
          <w:szCs w:val="22"/>
        </w:rPr>
        <w:t>31</w:t>
      </w:r>
      <w:r w:rsidRPr="00A97CC6">
        <w:rPr>
          <w:rFonts w:ascii="Arial" w:hAnsi="Arial" w:cs="Arial"/>
          <w:b/>
          <w:sz w:val="22"/>
          <w:szCs w:val="22"/>
        </w:rPr>
        <w:t xml:space="preserve"> </w:t>
      </w:r>
      <w:r w:rsidR="00A24702">
        <w:rPr>
          <w:rFonts w:ascii="Arial" w:hAnsi="Arial" w:cs="Arial"/>
          <w:b/>
          <w:sz w:val="22"/>
          <w:szCs w:val="22"/>
        </w:rPr>
        <w:t>August</w:t>
      </w:r>
      <w:r w:rsidRPr="00A97CC6">
        <w:rPr>
          <w:rFonts w:ascii="Arial" w:hAnsi="Arial" w:cs="Arial"/>
          <w:b/>
          <w:sz w:val="22"/>
          <w:szCs w:val="22"/>
        </w:rPr>
        <w:t xml:space="preserve"> 2018</w:t>
      </w:r>
      <w:r w:rsidRPr="004F77CE">
        <w:rPr>
          <w:rFonts w:ascii="Arial" w:hAnsi="Arial" w:cs="Arial"/>
          <w:sz w:val="22"/>
          <w:szCs w:val="22"/>
        </w:rPr>
        <w:t xml:space="preserve">. The Group’s will also be encouraged to issue a brief </w:t>
      </w:r>
      <w:r w:rsidR="00A97CC6" w:rsidRPr="004F77CE">
        <w:rPr>
          <w:rFonts w:ascii="Arial" w:hAnsi="Arial" w:cs="Arial"/>
          <w:sz w:val="22"/>
          <w:szCs w:val="22"/>
        </w:rPr>
        <w:t>1-2-page</w:t>
      </w:r>
      <w:r w:rsidRPr="004F77CE">
        <w:rPr>
          <w:rFonts w:ascii="Arial" w:hAnsi="Arial" w:cs="Arial"/>
          <w:sz w:val="22"/>
          <w:szCs w:val="22"/>
        </w:rPr>
        <w:t xml:space="preserve"> summary of the process they undertook, highlighting any areas of contention, specific points or responses to particular comments received during the consultation process. </w:t>
      </w:r>
    </w:p>
    <w:p w14:paraId="5307CD24" w14:textId="77777777" w:rsidR="004F77CE" w:rsidRPr="004F77CE" w:rsidRDefault="004F77CE" w:rsidP="004F77CE">
      <w:pPr>
        <w:spacing w:after="200"/>
        <w:jc w:val="both"/>
        <w:rPr>
          <w:rFonts w:ascii="Arial" w:hAnsi="Arial" w:cs="Arial"/>
          <w:b/>
          <w:i/>
          <w:sz w:val="22"/>
          <w:szCs w:val="22"/>
        </w:rPr>
      </w:pPr>
      <w:r w:rsidRPr="004F77CE">
        <w:rPr>
          <w:rFonts w:ascii="Arial" w:hAnsi="Arial" w:cs="Arial"/>
          <w:b/>
          <w:i/>
          <w:sz w:val="22"/>
          <w:szCs w:val="22"/>
        </w:rPr>
        <w:t>Expected Duration, Timeline and Time Commitment</w:t>
      </w:r>
    </w:p>
    <w:p w14:paraId="6D55D1EA" w14:textId="77777777" w:rsidR="004F77CE" w:rsidRPr="004F77CE" w:rsidRDefault="004F77CE" w:rsidP="004F77CE">
      <w:pPr>
        <w:spacing w:after="200"/>
        <w:jc w:val="both"/>
        <w:rPr>
          <w:rFonts w:ascii="Arial" w:hAnsi="Arial" w:cs="Arial"/>
          <w:sz w:val="22"/>
          <w:szCs w:val="22"/>
        </w:rPr>
      </w:pPr>
      <w:r w:rsidRPr="004F77CE">
        <w:rPr>
          <w:rFonts w:ascii="Arial" w:hAnsi="Arial" w:cs="Arial"/>
          <w:sz w:val="22"/>
          <w:szCs w:val="22"/>
        </w:rPr>
        <w:t xml:space="preserve">The Expert Groups will form in June 2018 at the completion of the consultation phase and will disband in September following the </w:t>
      </w:r>
      <w:hyperlink r:id="rId6">
        <w:r w:rsidRPr="004F77CE">
          <w:rPr>
            <w:rFonts w:ascii="Arial" w:hAnsi="Arial" w:cs="Arial"/>
            <w:color w:val="1155CC"/>
            <w:sz w:val="22"/>
            <w:szCs w:val="22"/>
            <w:u w:val="single"/>
          </w:rPr>
          <w:t>International Open Data Conference</w:t>
        </w:r>
      </w:hyperlink>
      <w:r w:rsidRPr="004F77CE">
        <w:rPr>
          <w:rFonts w:ascii="Arial" w:hAnsi="Arial" w:cs="Arial"/>
          <w:sz w:val="22"/>
          <w:szCs w:val="22"/>
        </w:rPr>
        <w:t xml:space="preserve"> (IODC) that will be held in Buenos Aires, Argentina on 27-28 September 2018. The Expert Groups will convene virtually </w:t>
      </w:r>
      <w:r w:rsidR="005E375A">
        <w:rPr>
          <w:rFonts w:ascii="Arial" w:hAnsi="Arial" w:cs="Arial"/>
          <w:sz w:val="22"/>
          <w:szCs w:val="22"/>
        </w:rPr>
        <w:t>2-3</w:t>
      </w:r>
      <w:r w:rsidRPr="004F77CE">
        <w:rPr>
          <w:rFonts w:ascii="Arial" w:hAnsi="Arial" w:cs="Arial"/>
          <w:sz w:val="22"/>
          <w:szCs w:val="22"/>
        </w:rPr>
        <w:t xml:space="preserve"> times during this time. An overall time commitment of 2-3 day</w:t>
      </w:r>
      <w:r w:rsidR="005E375A">
        <w:rPr>
          <w:rFonts w:ascii="Arial" w:hAnsi="Arial" w:cs="Arial"/>
          <w:sz w:val="22"/>
          <w:szCs w:val="22"/>
        </w:rPr>
        <w:t>s is envisaged from each member spread out over a 3-month period.</w:t>
      </w:r>
    </w:p>
    <w:p w14:paraId="1062F72C" w14:textId="2CB2325A" w:rsidR="005E375A" w:rsidRDefault="00617F4C" w:rsidP="004F77CE">
      <w:pPr>
        <w:spacing w:after="200"/>
        <w:rPr>
          <w:rFonts w:ascii="Arial" w:hAnsi="Arial" w:cs="Arial"/>
          <w:b/>
          <w:i/>
          <w:sz w:val="22"/>
          <w:szCs w:val="22"/>
        </w:rPr>
      </w:pPr>
      <w:r>
        <w:rPr>
          <w:rFonts w:ascii="Arial" w:hAnsi="Arial" w:cs="Arial"/>
          <w:b/>
          <w:i/>
          <w:sz w:val="22"/>
          <w:szCs w:val="22"/>
        </w:rPr>
        <w:t>Support &amp; Contact Details</w:t>
      </w:r>
    </w:p>
    <w:p w14:paraId="3FB0FB85" w14:textId="2139C87D" w:rsidR="005E375A" w:rsidRDefault="00617F4C" w:rsidP="00617F4C">
      <w:pPr>
        <w:spacing w:after="200"/>
        <w:jc w:val="both"/>
        <w:rPr>
          <w:rFonts w:ascii="Arial" w:hAnsi="Arial" w:cs="Arial"/>
          <w:sz w:val="22"/>
          <w:szCs w:val="22"/>
        </w:rPr>
      </w:pPr>
      <w:r>
        <w:rPr>
          <w:rFonts w:ascii="Arial" w:hAnsi="Arial" w:cs="Arial"/>
          <w:sz w:val="22"/>
          <w:szCs w:val="22"/>
        </w:rPr>
        <w:t xml:space="preserve">This process is being coordinated by Natalia </w:t>
      </w:r>
      <w:proofErr w:type="spellStart"/>
      <w:r>
        <w:rPr>
          <w:rFonts w:ascii="Arial" w:hAnsi="Arial" w:cs="Arial"/>
          <w:sz w:val="22"/>
          <w:szCs w:val="22"/>
        </w:rPr>
        <w:t>Carfi</w:t>
      </w:r>
      <w:proofErr w:type="spellEnd"/>
      <w:r>
        <w:rPr>
          <w:rFonts w:ascii="Arial" w:hAnsi="Arial" w:cs="Arial"/>
          <w:sz w:val="22"/>
          <w:szCs w:val="22"/>
        </w:rPr>
        <w:t xml:space="preserve">, Deputy Director of the Open Data Charter </w:t>
      </w:r>
      <w:r>
        <w:rPr>
          <w:rFonts w:ascii="Arial" w:hAnsi="Arial" w:cs="Arial"/>
          <w:sz w:val="22"/>
          <w:szCs w:val="22"/>
        </w:rPr>
        <w:t>(</w:t>
      </w:r>
      <w:hyperlink r:id="rId7" w:history="1">
        <w:r w:rsidRPr="00863C93">
          <w:rPr>
            <w:rStyle w:val="Hyperlink"/>
            <w:rFonts w:ascii="Arial" w:hAnsi="Arial" w:cs="Arial"/>
            <w:sz w:val="22"/>
            <w:szCs w:val="22"/>
          </w:rPr>
          <w:t>nati@opendatacharter.org</w:t>
        </w:r>
      </w:hyperlink>
      <w:r>
        <w:rPr>
          <w:rFonts w:ascii="Arial" w:hAnsi="Arial" w:cs="Arial"/>
          <w:sz w:val="22"/>
          <w:szCs w:val="22"/>
        </w:rPr>
        <w:t>)</w:t>
      </w:r>
      <w:r>
        <w:rPr>
          <w:rFonts w:ascii="Arial" w:hAnsi="Arial" w:cs="Arial"/>
          <w:sz w:val="22"/>
          <w:szCs w:val="22"/>
        </w:rPr>
        <w:t xml:space="preserve"> with support from Tom Orrell, Founder of the DataReady Initiative (</w:t>
      </w:r>
      <w:hyperlink r:id="rId8" w:history="1">
        <w:r w:rsidRPr="00863C93">
          <w:rPr>
            <w:rStyle w:val="Hyperlink"/>
            <w:rFonts w:ascii="Arial" w:hAnsi="Arial" w:cs="Arial"/>
            <w:sz w:val="22"/>
            <w:szCs w:val="22"/>
          </w:rPr>
          <w:t>tom@dataready.org</w:t>
        </w:r>
      </w:hyperlink>
      <w:r>
        <w:rPr>
          <w:rFonts w:ascii="Arial" w:hAnsi="Arial" w:cs="Arial"/>
          <w:sz w:val="22"/>
          <w:szCs w:val="22"/>
        </w:rPr>
        <w:t>). All quest</w:t>
      </w:r>
      <w:r w:rsidR="00FE3987">
        <w:rPr>
          <w:rFonts w:ascii="Arial" w:hAnsi="Arial" w:cs="Arial"/>
          <w:sz w:val="22"/>
          <w:szCs w:val="22"/>
        </w:rPr>
        <w:t>ions should be directed to them and/or Expert Group Co-Chairs.</w:t>
      </w:r>
    </w:p>
    <w:p w14:paraId="2AD8B236" w14:textId="77777777" w:rsidR="00617F4C" w:rsidRDefault="00617F4C" w:rsidP="00617F4C">
      <w:pPr>
        <w:spacing w:after="200"/>
        <w:jc w:val="both"/>
        <w:rPr>
          <w:rFonts w:ascii="Arial" w:hAnsi="Arial" w:cs="Arial"/>
          <w:b/>
          <w:i/>
          <w:sz w:val="22"/>
          <w:szCs w:val="22"/>
        </w:rPr>
      </w:pPr>
      <w:bookmarkStart w:id="0" w:name="_GoBack"/>
      <w:bookmarkEnd w:id="0"/>
    </w:p>
    <w:p w14:paraId="03AE016D" w14:textId="77777777" w:rsidR="005E375A" w:rsidRDefault="005E375A" w:rsidP="004F77CE">
      <w:pPr>
        <w:spacing w:after="200"/>
        <w:rPr>
          <w:rFonts w:ascii="Arial" w:hAnsi="Arial" w:cs="Arial"/>
          <w:b/>
          <w:i/>
          <w:sz w:val="22"/>
          <w:szCs w:val="22"/>
        </w:rPr>
      </w:pPr>
    </w:p>
    <w:p w14:paraId="64DF6FE8" w14:textId="4EAEF772" w:rsidR="004F77CE" w:rsidRPr="004F77CE" w:rsidRDefault="004F77CE" w:rsidP="004F77CE">
      <w:pPr>
        <w:spacing w:after="200"/>
        <w:rPr>
          <w:rFonts w:ascii="Arial" w:hAnsi="Arial" w:cs="Arial"/>
          <w:b/>
          <w:i/>
          <w:sz w:val="22"/>
          <w:szCs w:val="22"/>
        </w:rPr>
      </w:pPr>
      <w:r w:rsidRPr="004F77CE">
        <w:rPr>
          <w:rFonts w:ascii="Arial" w:hAnsi="Arial" w:cs="Arial"/>
          <w:b/>
          <w:i/>
          <w:sz w:val="22"/>
          <w:szCs w:val="22"/>
        </w:rPr>
        <w:lastRenderedPageBreak/>
        <w:t>Suggested Schedule</w:t>
      </w:r>
    </w:p>
    <w:tbl>
      <w:tblPr>
        <w:tblW w:w="11070"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45"/>
        <w:gridCol w:w="765"/>
        <w:gridCol w:w="765"/>
        <w:gridCol w:w="720"/>
        <w:gridCol w:w="675"/>
      </w:tblGrid>
      <w:tr w:rsidR="004F77CE" w:rsidRPr="004F77CE" w14:paraId="5971A43B" w14:textId="77777777" w:rsidTr="00956BA2">
        <w:tc>
          <w:tcPr>
            <w:tcW w:w="8145" w:type="dxa"/>
            <w:shd w:val="clear" w:color="auto" w:fill="B6D7A8"/>
            <w:tcMar>
              <w:top w:w="100" w:type="dxa"/>
              <w:left w:w="100" w:type="dxa"/>
              <w:bottom w:w="100" w:type="dxa"/>
              <w:right w:w="100" w:type="dxa"/>
            </w:tcMar>
          </w:tcPr>
          <w:p w14:paraId="6AD4F337" w14:textId="77777777" w:rsidR="004F77CE" w:rsidRPr="005E375A" w:rsidRDefault="004F77CE" w:rsidP="00956BA2">
            <w:pPr>
              <w:widowControl w:val="0"/>
              <w:rPr>
                <w:rFonts w:ascii="Arial" w:hAnsi="Arial" w:cs="Arial"/>
                <w:b/>
                <w:sz w:val="20"/>
                <w:szCs w:val="20"/>
              </w:rPr>
            </w:pPr>
            <w:r w:rsidRPr="005E375A">
              <w:rPr>
                <w:rFonts w:ascii="Arial" w:hAnsi="Arial" w:cs="Arial"/>
                <w:b/>
                <w:sz w:val="20"/>
                <w:szCs w:val="20"/>
              </w:rPr>
              <w:t>Suggested activity breakdown and organisation (at discretion of Group Chairs)</w:t>
            </w:r>
          </w:p>
        </w:tc>
        <w:tc>
          <w:tcPr>
            <w:tcW w:w="765" w:type="dxa"/>
            <w:shd w:val="clear" w:color="auto" w:fill="B6D7A8"/>
            <w:tcMar>
              <w:top w:w="100" w:type="dxa"/>
              <w:left w:w="100" w:type="dxa"/>
              <w:bottom w:w="100" w:type="dxa"/>
              <w:right w:w="100" w:type="dxa"/>
            </w:tcMar>
          </w:tcPr>
          <w:p w14:paraId="06838051" w14:textId="77777777" w:rsidR="004F77CE" w:rsidRPr="005E375A" w:rsidRDefault="004F77CE" w:rsidP="00956BA2">
            <w:pPr>
              <w:widowControl w:val="0"/>
              <w:rPr>
                <w:rFonts w:ascii="Arial" w:hAnsi="Arial" w:cs="Arial"/>
                <w:b/>
                <w:sz w:val="20"/>
                <w:szCs w:val="20"/>
              </w:rPr>
            </w:pPr>
            <w:r w:rsidRPr="005E375A">
              <w:rPr>
                <w:rFonts w:ascii="Arial" w:hAnsi="Arial" w:cs="Arial"/>
                <w:b/>
                <w:sz w:val="20"/>
                <w:szCs w:val="20"/>
              </w:rPr>
              <w:t xml:space="preserve">June </w:t>
            </w:r>
          </w:p>
        </w:tc>
        <w:tc>
          <w:tcPr>
            <w:tcW w:w="765" w:type="dxa"/>
            <w:shd w:val="clear" w:color="auto" w:fill="B6D7A8"/>
            <w:tcMar>
              <w:top w:w="100" w:type="dxa"/>
              <w:left w:w="100" w:type="dxa"/>
              <w:bottom w:w="100" w:type="dxa"/>
              <w:right w:w="100" w:type="dxa"/>
            </w:tcMar>
          </w:tcPr>
          <w:p w14:paraId="7DDE564C" w14:textId="77777777" w:rsidR="004F77CE" w:rsidRPr="005E375A" w:rsidRDefault="004F77CE" w:rsidP="00956BA2">
            <w:pPr>
              <w:widowControl w:val="0"/>
              <w:rPr>
                <w:rFonts w:ascii="Arial" w:hAnsi="Arial" w:cs="Arial"/>
                <w:b/>
                <w:sz w:val="20"/>
                <w:szCs w:val="20"/>
              </w:rPr>
            </w:pPr>
            <w:r w:rsidRPr="005E375A">
              <w:rPr>
                <w:rFonts w:ascii="Arial" w:hAnsi="Arial" w:cs="Arial"/>
                <w:b/>
                <w:sz w:val="20"/>
                <w:szCs w:val="20"/>
              </w:rPr>
              <w:t>July</w:t>
            </w:r>
          </w:p>
        </w:tc>
        <w:tc>
          <w:tcPr>
            <w:tcW w:w="720" w:type="dxa"/>
            <w:shd w:val="clear" w:color="auto" w:fill="B6D7A8"/>
            <w:tcMar>
              <w:top w:w="100" w:type="dxa"/>
              <w:left w:w="100" w:type="dxa"/>
              <w:bottom w:w="100" w:type="dxa"/>
              <w:right w:w="100" w:type="dxa"/>
            </w:tcMar>
          </w:tcPr>
          <w:p w14:paraId="55A1AEA0" w14:textId="77777777" w:rsidR="004F77CE" w:rsidRPr="005E375A" w:rsidRDefault="004F77CE" w:rsidP="00956BA2">
            <w:pPr>
              <w:widowControl w:val="0"/>
              <w:rPr>
                <w:rFonts w:ascii="Arial" w:hAnsi="Arial" w:cs="Arial"/>
                <w:b/>
                <w:sz w:val="20"/>
                <w:szCs w:val="20"/>
              </w:rPr>
            </w:pPr>
            <w:r w:rsidRPr="005E375A">
              <w:rPr>
                <w:rFonts w:ascii="Arial" w:hAnsi="Arial" w:cs="Arial"/>
                <w:b/>
                <w:sz w:val="20"/>
                <w:szCs w:val="20"/>
              </w:rPr>
              <w:t>Aug</w:t>
            </w:r>
          </w:p>
        </w:tc>
        <w:tc>
          <w:tcPr>
            <w:tcW w:w="675" w:type="dxa"/>
            <w:shd w:val="clear" w:color="auto" w:fill="B6D7A8"/>
            <w:tcMar>
              <w:top w:w="100" w:type="dxa"/>
              <w:left w:w="100" w:type="dxa"/>
              <w:bottom w:w="100" w:type="dxa"/>
              <w:right w:w="100" w:type="dxa"/>
            </w:tcMar>
          </w:tcPr>
          <w:p w14:paraId="36B50445" w14:textId="77777777" w:rsidR="004F77CE" w:rsidRPr="005E375A" w:rsidRDefault="004F77CE" w:rsidP="00956BA2">
            <w:pPr>
              <w:widowControl w:val="0"/>
              <w:rPr>
                <w:rFonts w:ascii="Arial" w:hAnsi="Arial" w:cs="Arial"/>
                <w:b/>
                <w:sz w:val="20"/>
                <w:szCs w:val="20"/>
              </w:rPr>
            </w:pPr>
            <w:r w:rsidRPr="005E375A">
              <w:rPr>
                <w:rFonts w:ascii="Arial" w:hAnsi="Arial" w:cs="Arial"/>
                <w:b/>
                <w:sz w:val="20"/>
                <w:szCs w:val="20"/>
              </w:rPr>
              <w:t>Sept</w:t>
            </w:r>
          </w:p>
        </w:tc>
      </w:tr>
      <w:tr w:rsidR="004F77CE" w:rsidRPr="004F77CE" w14:paraId="76B5E195" w14:textId="77777777" w:rsidTr="00313807">
        <w:tc>
          <w:tcPr>
            <w:tcW w:w="8145" w:type="dxa"/>
            <w:shd w:val="clear" w:color="auto" w:fill="auto"/>
            <w:tcMar>
              <w:top w:w="100" w:type="dxa"/>
              <w:left w:w="100" w:type="dxa"/>
              <w:bottom w:w="100" w:type="dxa"/>
              <w:right w:w="100" w:type="dxa"/>
            </w:tcMar>
          </w:tcPr>
          <w:p w14:paraId="77B64B1D" w14:textId="77777777" w:rsidR="004F77CE" w:rsidRPr="005E375A" w:rsidRDefault="004F77CE" w:rsidP="00956BA2">
            <w:pPr>
              <w:widowControl w:val="0"/>
              <w:rPr>
                <w:rFonts w:ascii="Arial" w:hAnsi="Arial" w:cs="Arial"/>
                <w:sz w:val="20"/>
                <w:szCs w:val="20"/>
              </w:rPr>
            </w:pPr>
            <w:r w:rsidRPr="005E375A">
              <w:rPr>
                <w:rFonts w:ascii="Arial" w:hAnsi="Arial" w:cs="Arial"/>
                <w:sz w:val="20"/>
                <w:szCs w:val="20"/>
              </w:rPr>
              <w:t>Formally convene each Group</w:t>
            </w:r>
          </w:p>
        </w:tc>
        <w:tc>
          <w:tcPr>
            <w:tcW w:w="765" w:type="dxa"/>
            <w:shd w:val="clear" w:color="auto" w:fill="BF8F00" w:themeFill="accent4" w:themeFillShade="BF"/>
            <w:tcMar>
              <w:top w:w="100" w:type="dxa"/>
              <w:left w:w="100" w:type="dxa"/>
              <w:bottom w:w="100" w:type="dxa"/>
              <w:right w:w="100" w:type="dxa"/>
            </w:tcMar>
          </w:tcPr>
          <w:p w14:paraId="276C9604" w14:textId="77777777" w:rsidR="004F77CE" w:rsidRPr="005E375A" w:rsidRDefault="004F77CE" w:rsidP="00956BA2">
            <w:pPr>
              <w:widowControl w:val="0"/>
              <w:rPr>
                <w:rFonts w:ascii="Arial" w:hAnsi="Arial" w:cs="Arial"/>
                <w:sz w:val="20"/>
                <w:szCs w:val="20"/>
              </w:rPr>
            </w:pPr>
          </w:p>
        </w:tc>
        <w:tc>
          <w:tcPr>
            <w:tcW w:w="765" w:type="dxa"/>
            <w:shd w:val="clear" w:color="auto" w:fill="auto"/>
            <w:tcMar>
              <w:top w:w="100" w:type="dxa"/>
              <w:left w:w="100" w:type="dxa"/>
              <w:bottom w:w="100" w:type="dxa"/>
              <w:right w:w="100" w:type="dxa"/>
            </w:tcMar>
          </w:tcPr>
          <w:p w14:paraId="0BC3E24F" w14:textId="77777777" w:rsidR="004F77CE" w:rsidRPr="005E375A" w:rsidRDefault="004F77CE" w:rsidP="00956BA2">
            <w:pPr>
              <w:widowControl w:val="0"/>
              <w:rPr>
                <w:rFonts w:ascii="Arial" w:hAnsi="Arial" w:cs="Arial"/>
                <w:sz w:val="20"/>
                <w:szCs w:val="20"/>
              </w:rPr>
            </w:pPr>
          </w:p>
        </w:tc>
        <w:tc>
          <w:tcPr>
            <w:tcW w:w="720" w:type="dxa"/>
            <w:shd w:val="clear" w:color="auto" w:fill="auto"/>
            <w:tcMar>
              <w:top w:w="100" w:type="dxa"/>
              <w:left w:w="100" w:type="dxa"/>
              <w:bottom w:w="100" w:type="dxa"/>
              <w:right w:w="100" w:type="dxa"/>
            </w:tcMar>
          </w:tcPr>
          <w:p w14:paraId="74CDB5C8" w14:textId="77777777" w:rsidR="004F77CE" w:rsidRPr="005E375A" w:rsidRDefault="004F77CE" w:rsidP="00956BA2">
            <w:pPr>
              <w:widowControl w:val="0"/>
              <w:rPr>
                <w:rFonts w:ascii="Arial" w:hAnsi="Arial" w:cs="Arial"/>
                <w:sz w:val="20"/>
                <w:szCs w:val="20"/>
              </w:rPr>
            </w:pPr>
          </w:p>
        </w:tc>
        <w:tc>
          <w:tcPr>
            <w:tcW w:w="675" w:type="dxa"/>
            <w:shd w:val="clear" w:color="auto" w:fill="auto"/>
            <w:tcMar>
              <w:top w:w="100" w:type="dxa"/>
              <w:left w:w="100" w:type="dxa"/>
              <w:bottom w:w="100" w:type="dxa"/>
              <w:right w:w="100" w:type="dxa"/>
            </w:tcMar>
          </w:tcPr>
          <w:p w14:paraId="12C3A5A2" w14:textId="77777777" w:rsidR="004F77CE" w:rsidRPr="005E375A" w:rsidRDefault="004F77CE" w:rsidP="00956BA2">
            <w:pPr>
              <w:widowControl w:val="0"/>
              <w:rPr>
                <w:rFonts w:ascii="Arial" w:hAnsi="Arial" w:cs="Arial"/>
                <w:sz w:val="20"/>
                <w:szCs w:val="20"/>
              </w:rPr>
            </w:pPr>
          </w:p>
        </w:tc>
      </w:tr>
      <w:tr w:rsidR="004F77CE" w:rsidRPr="004F77CE" w14:paraId="44E5BAD5" w14:textId="77777777" w:rsidTr="00313807">
        <w:tc>
          <w:tcPr>
            <w:tcW w:w="8145" w:type="dxa"/>
            <w:shd w:val="clear" w:color="auto" w:fill="auto"/>
            <w:tcMar>
              <w:top w:w="100" w:type="dxa"/>
              <w:left w:w="100" w:type="dxa"/>
              <w:bottom w:w="100" w:type="dxa"/>
              <w:right w:w="100" w:type="dxa"/>
            </w:tcMar>
          </w:tcPr>
          <w:p w14:paraId="3A9C1800" w14:textId="77777777" w:rsidR="004F77CE" w:rsidRPr="005E375A" w:rsidRDefault="004F77CE" w:rsidP="00956BA2">
            <w:pPr>
              <w:widowControl w:val="0"/>
              <w:rPr>
                <w:rFonts w:ascii="Arial" w:hAnsi="Arial" w:cs="Arial"/>
                <w:sz w:val="20"/>
                <w:szCs w:val="20"/>
              </w:rPr>
            </w:pPr>
            <w:r w:rsidRPr="005E375A">
              <w:rPr>
                <w:rFonts w:ascii="Arial" w:hAnsi="Arial" w:cs="Arial"/>
                <w:sz w:val="20"/>
                <w:szCs w:val="20"/>
              </w:rPr>
              <w:t>Hold initial call to launch process (discuss responsibilities, consider inputs received, divide tasks, etc.)</w:t>
            </w:r>
          </w:p>
        </w:tc>
        <w:tc>
          <w:tcPr>
            <w:tcW w:w="765" w:type="dxa"/>
            <w:shd w:val="clear" w:color="auto" w:fill="BF8F00" w:themeFill="accent4" w:themeFillShade="BF"/>
            <w:tcMar>
              <w:top w:w="100" w:type="dxa"/>
              <w:left w:w="100" w:type="dxa"/>
              <w:bottom w:w="100" w:type="dxa"/>
              <w:right w:w="100" w:type="dxa"/>
            </w:tcMar>
          </w:tcPr>
          <w:p w14:paraId="1151900B" w14:textId="77777777" w:rsidR="004F77CE" w:rsidRPr="005E375A" w:rsidRDefault="004F77CE" w:rsidP="00956BA2">
            <w:pPr>
              <w:widowControl w:val="0"/>
              <w:rPr>
                <w:rFonts w:ascii="Arial" w:hAnsi="Arial" w:cs="Arial"/>
                <w:sz w:val="20"/>
                <w:szCs w:val="20"/>
              </w:rPr>
            </w:pPr>
          </w:p>
        </w:tc>
        <w:tc>
          <w:tcPr>
            <w:tcW w:w="765" w:type="dxa"/>
            <w:shd w:val="clear" w:color="auto" w:fill="auto"/>
            <w:tcMar>
              <w:top w:w="100" w:type="dxa"/>
              <w:left w:w="100" w:type="dxa"/>
              <w:bottom w:w="100" w:type="dxa"/>
              <w:right w:w="100" w:type="dxa"/>
            </w:tcMar>
          </w:tcPr>
          <w:p w14:paraId="010FB9E3" w14:textId="77777777" w:rsidR="004F77CE" w:rsidRPr="005E375A" w:rsidRDefault="004F77CE" w:rsidP="00956BA2">
            <w:pPr>
              <w:widowControl w:val="0"/>
              <w:rPr>
                <w:rFonts w:ascii="Arial" w:hAnsi="Arial" w:cs="Arial"/>
                <w:sz w:val="20"/>
                <w:szCs w:val="20"/>
              </w:rPr>
            </w:pPr>
          </w:p>
        </w:tc>
        <w:tc>
          <w:tcPr>
            <w:tcW w:w="720" w:type="dxa"/>
            <w:shd w:val="clear" w:color="auto" w:fill="auto"/>
            <w:tcMar>
              <w:top w:w="100" w:type="dxa"/>
              <w:left w:w="100" w:type="dxa"/>
              <w:bottom w:w="100" w:type="dxa"/>
              <w:right w:w="100" w:type="dxa"/>
            </w:tcMar>
          </w:tcPr>
          <w:p w14:paraId="535ADC4E" w14:textId="77777777" w:rsidR="004F77CE" w:rsidRPr="005E375A" w:rsidRDefault="004F77CE" w:rsidP="00956BA2">
            <w:pPr>
              <w:widowControl w:val="0"/>
              <w:rPr>
                <w:rFonts w:ascii="Arial" w:hAnsi="Arial" w:cs="Arial"/>
                <w:sz w:val="20"/>
                <w:szCs w:val="20"/>
              </w:rPr>
            </w:pPr>
          </w:p>
        </w:tc>
        <w:tc>
          <w:tcPr>
            <w:tcW w:w="675" w:type="dxa"/>
            <w:shd w:val="clear" w:color="auto" w:fill="auto"/>
            <w:tcMar>
              <w:top w:w="100" w:type="dxa"/>
              <w:left w:w="100" w:type="dxa"/>
              <w:bottom w:w="100" w:type="dxa"/>
              <w:right w:w="100" w:type="dxa"/>
            </w:tcMar>
          </w:tcPr>
          <w:p w14:paraId="5FC287EF" w14:textId="77777777" w:rsidR="004F77CE" w:rsidRPr="005E375A" w:rsidRDefault="004F77CE" w:rsidP="00956BA2">
            <w:pPr>
              <w:widowControl w:val="0"/>
              <w:rPr>
                <w:rFonts w:ascii="Arial" w:hAnsi="Arial" w:cs="Arial"/>
                <w:sz w:val="20"/>
                <w:szCs w:val="20"/>
              </w:rPr>
            </w:pPr>
          </w:p>
        </w:tc>
      </w:tr>
      <w:tr w:rsidR="004F77CE" w:rsidRPr="004F77CE" w14:paraId="0FC5B082" w14:textId="77777777" w:rsidTr="00313807">
        <w:tc>
          <w:tcPr>
            <w:tcW w:w="8145" w:type="dxa"/>
            <w:shd w:val="clear" w:color="auto" w:fill="auto"/>
            <w:tcMar>
              <w:top w:w="100" w:type="dxa"/>
              <w:left w:w="100" w:type="dxa"/>
              <w:bottom w:w="100" w:type="dxa"/>
              <w:right w:w="100" w:type="dxa"/>
            </w:tcMar>
          </w:tcPr>
          <w:p w14:paraId="3C3D6382" w14:textId="77777777" w:rsidR="004F77CE" w:rsidRPr="005E375A" w:rsidRDefault="004F77CE" w:rsidP="00956BA2">
            <w:pPr>
              <w:widowControl w:val="0"/>
              <w:rPr>
                <w:rFonts w:ascii="Arial" w:hAnsi="Arial" w:cs="Arial"/>
                <w:sz w:val="20"/>
                <w:szCs w:val="20"/>
              </w:rPr>
            </w:pPr>
            <w:r w:rsidRPr="005E375A">
              <w:rPr>
                <w:rFonts w:ascii="Arial" w:hAnsi="Arial" w:cs="Arial"/>
                <w:sz w:val="20"/>
                <w:szCs w:val="20"/>
              </w:rPr>
              <w:t>Conduct first round of comment reviews and compile suggestions</w:t>
            </w:r>
          </w:p>
        </w:tc>
        <w:tc>
          <w:tcPr>
            <w:tcW w:w="765" w:type="dxa"/>
            <w:shd w:val="clear" w:color="auto" w:fill="BF8F00" w:themeFill="accent4" w:themeFillShade="BF"/>
            <w:tcMar>
              <w:top w:w="100" w:type="dxa"/>
              <w:left w:w="100" w:type="dxa"/>
              <w:bottom w:w="100" w:type="dxa"/>
              <w:right w:w="100" w:type="dxa"/>
            </w:tcMar>
          </w:tcPr>
          <w:p w14:paraId="1A1F3BCF" w14:textId="77777777" w:rsidR="004F77CE" w:rsidRPr="005E375A" w:rsidRDefault="004F77CE" w:rsidP="00956BA2">
            <w:pPr>
              <w:widowControl w:val="0"/>
              <w:rPr>
                <w:rFonts w:ascii="Arial" w:hAnsi="Arial" w:cs="Arial"/>
                <w:sz w:val="20"/>
                <w:szCs w:val="20"/>
              </w:rPr>
            </w:pPr>
          </w:p>
        </w:tc>
        <w:tc>
          <w:tcPr>
            <w:tcW w:w="765" w:type="dxa"/>
            <w:shd w:val="clear" w:color="auto" w:fill="BF8F00" w:themeFill="accent4" w:themeFillShade="BF"/>
            <w:tcMar>
              <w:top w:w="100" w:type="dxa"/>
              <w:left w:w="100" w:type="dxa"/>
              <w:bottom w:w="100" w:type="dxa"/>
              <w:right w:w="100" w:type="dxa"/>
            </w:tcMar>
          </w:tcPr>
          <w:p w14:paraId="3B4635E9" w14:textId="77777777" w:rsidR="004F77CE" w:rsidRPr="005E375A" w:rsidRDefault="004F77CE" w:rsidP="00956BA2">
            <w:pPr>
              <w:widowControl w:val="0"/>
              <w:rPr>
                <w:rFonts w:ascii="Arial" w:hAnsi="Arial" w:cs="Arial"/>
                <w:sz w:val="20"/>
                <w:szCs w:val="20"/>
              </w:rPr>
            </w:pPr>
          </w:p>
        </w:tc>
        <w:tc>
          <w:tcPr>
            <w:tcW w:w="720" w:type="dxa"/>
            <w:shd w:val="clear" w:color="auto" w:fill="auto"/>
            <w:tcMar>
              <w:top w:w="100" w:type="dxa"/>
              <w:left w:w="100" w:type="dxa"/>
              <w:bottom w:w="100" w:type="dxa"/>
              <w:right w:w="100" w:type="dxa"/>
            </w:tcMar>
          </w:tcPr>
          <w:p w14:paraId="0F8F10F3" w14:textId="77777777" w:rsidR="004F77CE" w:rsidRPr="005E375A" w:rsidRDefault="004F77CE" w:rsidP="00956BA2">
            <w:pPr>
              <w:widowControl w:val="0"/>
              <w:rPr>
                <w:rFonts w:ascii="Arial" w:hAnsi="Arial" w:cs="Arial"/>
                <w:sz w:val="20"/>
                <w:szCs w:val="20"/>
              </w:rPr>
            </w:pPr>
          </w:p>
        </w:tc>
        <w:tc>
          <w:tcPr>
            <w:tcW w:w="675" w:type="dxa"/>
            <w:shd w:val="clear" w:color="auto" w:fill="auto"/>
            <w:tcMar>
              <w:top w:w="100" w:type="dxa"/>
              <w:left w:w="100" w:type="dxa"/>
              <w:bottom w:w="100" w:type="dxa"/>
              <w:right w:w="100" w:type="dxa"/>
            </w:tcMar>
          </w:tcPr>
          <w:p w14:paraId="7E8A03EE" w14:textId="77777777" w:rsidR="004F77CE" w:rsidRPr="005E375A" w:rsidRDefault="004F77CE" w:rsidP="00956BA2">
            <w:pPr>
              <w:widowControl w:val="0"/>
              <w:rPr>
                <w:rFonts w:ascii="Arial" w:hAnsi="Arial" w:cs="Arial"/>
                <w:sz w:val="20"/>
                <w:szCs w:val="20"/>
              </w:rPr>
            </w:pPr>
          </w:p>
        </w:tc>
      </w:tr>
      <w:tr w:rsidR="004F77CE" w:rsidRPr="004F77CE" w14:paraId="700BB449" w14:textId="77777777" w:rsidTr="00313807">
        <w:tc>
          <w:tcPr>
            <w:tcW w:w="8145" w:type="dxa"/>
            <w:shd w:val="clear" w:color="auto" w:fill="auto"/>
            <w:tcMar>
              <w:top w:w="100" w:type="dxa"/>
              <w:left w:w="100" w:type="dxa"/>
              <w:bottom w:w="100" w:type="dxa"/>
              <w:right w:w="100" w:type="dxa"/>
            </w:tcMar>
          </w:tcPr>
          <w:p w14:paraId="2E112632" w14:textId="77777777" w:rsidR="004F77CE" w:rsidRPr="005E375A" w:rsidRDefault="004F77CE" w:rsidP="00956BA2">
            <w:pPr>
              <w:widowControl w:val="0"/>
              <w:rPr>
                <w:rFonts w:ascii="Arial" w:hAnsi="Arial" w:cs="Arial"/>
                <w:sz w:val="20"/>
                <w:szCs w:val="20"/>
              </w:rPr>
            </w:pPr>
            <w:r w:rsidRPr="005E375A">
              <w:rPr>
                <w:rFonts w:ascii="Arial" w:hAnsi="Arial" w:cs="Arial"/>
                <w:sz w:val="20"/>
                <w:szCs w:val="20"/>
              </w:rPr>
              <w:t>Reconvene group virtually to assess progress and agree next steps</w:t>
            </w:r>
          </w:p>
        </w:tc>
        <w:tc>
          <w:tcPr>
            <w:tcW w:w="765" w:type="dxa"/>
            <w:shd w:val="clear" w:color="auto" w:fill="auto"/>
            <w:tcMar>
              <w:top w:w="100" w:type="dxa"/>
              <w:left w:w="100" w:type="dxa"/>
              <w:bottom w:w="100" w:type="dxa"/>
              <w:right w:w="100" w:type="dxa"/>
            </w:tcMar>
          </w:tcPr>
          <w:p w14:paraId="62F32421" w14:textId="77777777" w:rsidR="004F77CE" w:rsidRPr="005E375A" w:rsidRDefault="004F77CE" w:rsidP="00956BA2">
            <w:pPr>
              <w:widowControl w:val="0"/>
              <w:rPr>
                <w:rFonts w:ascii="Arial" w:hAnsi="Arial" w:cs="Arial"/>
                <w:sz w:val="20"/>
                <w:szCs w:val="20"/>
              </w:rPr>
            </w:pPr>
          </w:p>
        </w:tc>
        <w:tc>
          <w:tcPr>
            <w:tcW w:w="765" w:type="dxa"/>
            <w:shd w:val="clear" w:color="auto" w:fill="BF8F00" w:themeFill="accent4" w:themeFillShade="BF"/>
            <w:tcMar>
              <w:top w:w="100" w:type="dxa"/>
              <w:left w:w="100" w:type="dxa"/>
              <w:bottom w:w="100" w:type="dxa"/>
              <w:right w:w="100" w:type="dxa"/>
            </w:tcMar>
          </w:tcPr>
          <w:p w14:paraId="24BDE945" w14:textId="77777777" w:rsidR="004F77CE" w:rsidRPr="005E375A" w:rsidRDefault="004F77CE" w:rsidP="00956BA2">
            <w:pPr>
              <w:widowControl w:val="0"/>
              <w:rPr>
                <w:rFonts w:ascii="Arial" w:hAnsi="Arial" w:cs="Arial"/>
                <w:sz w:val="20"/>
                <w:szCs w:val="20"/>
              </w:rPr>
            </w:pPr>
          </w:p>
        </w:tc>
        <w:tc>
          <w:tcPr>
            <w:tcW w:w="720" w:type="dxa"/>
            <w:shd w:val="clear" w:color="auto" w:fill="auto"/>
            <w:tcMar>
              <w:top w:w="100" w:type="dxa"/>
              <w:left w:w="100" w:type="dxa"/>
              <w:bottom w:w="100" w:type="dxa"/>
              <w:right w:w="100" w:type="dxa"/>
            </w:tcMar>
          </w:tcPr>
          <w:p w14:paraId="24AAC965" w14:textId="77777777" w:rsidR="004F77CE" w:rsidRPr="005E375A" w:rsidRDefault="004F77CE" w:rsidP="00956BA2">
            <w:pPr>
              <w:widowControl w:val="0"/>
              <w:rPr>
                <w:rFonts w:ascii="Arial" w:hAnsi="Arial" w:cs="Arial"/>
                <w:sz w:val="20"/>
                <w:szCs w:val="20"/>
              </w:rPr>
            </w:pPr>
          </w:p>
        </w:tc>
        <w:tc>
          <w:tcPr>
            <w:tcW w:w="675" w:type="dxa"/>
            <w:shd w:val="clear" w:color="auto" w:fill="auto"/>
            <w:tcMar>
              <w:top w:w="100" w:type="dxa"/>
              <w:left w:w="100" w:type="dxa"/>
              <w:bottom w:w="100" w:type="dxa"/>
              <w:right w:w="100" w:type="dxa"/>
            </w:tcMar>
          </w:tcPr>
          <w:p w14:paraId="46FCEC8D" w14:textId="77777777" w:rsidR="004F77CE" w:rsidRPr="005E375A" w:rsidRDefault="004F77CE" w:rsidP="00956BA2">
            <w:pPr>
              <w:widowControl w:val="0"/>
              <w:rPr>
                <w:rFonts w:ascii="Arial" w:hAnsi="Arial" w:cs="Arial"/>
                <w:sz w:val="20"/>
                <w:szCs w:val="20"/>
              </w:rPr>
            </w:pPr>
          </w:p>
        </w:tc>
      </w:tr>
      <w:tr w:rsidR="004F77CE" w:rsidRPr="004F77CE" w14:paraId="39A5FA76" w14:textId="77777777" w:rsidTr="00313807">
        <w:tc>
          <w:tcPr>
            <w:tcW w:w="8145" w:type="dxa"/>
            <w:shd w:val="clear" w:color="auto" w:fill="auto"/>
            <w:tcMar>
              <w:top w:w="100" w:type="dxa"/>
              <w:left w:w="100" w:type="dxa"/>
              <w:bottom w:w="100" w:type="dxa"/>
              <w:right w:w="100" w:type="dxa"/>
            </w:tcMar>
          </w:tcPr>
          <w:p w14:paraId="0C105746" w14:textId="77777777" w:rsidR="004F77CE" w:rsidRPr="005E375A" w:rsidRDefault="004F77CE" w:rsidP="00956BA2">
            <w:pPr>
              <w:widowControl w:val="0"/>
              <w:rPr>
                <w:rFonts w:ascii="Arial" w:hAnsi="Arial" w:cs="Arial"/>
                <w:sz w:val="20"/>
                <w:szCs w:val="20"/>
              </w:rPr>
            </w:pPr>
            <w:r w:rsidRPr="005E375A">
              <w:rPr>
                <w:rFonts w:ascii="Arial" w:hAnsi="Arial" w:cs="Arial"/>
                <w:sz w:val="20"/>
                <w:szCs w:val="20"/>
              </w:rPr>
              <w:t>Conduct second round of comment reviews and compile suggestions</w:t>
            </w:r>
          </w:p>
        </w:tc>
        <w:tc>
          <w:tcPr>
            <w:tcW w:w="765" w:type="dxa"/>
            <w:shd w:val="clear" w:color="auto" w:fill="auto"/>
            <w:tcMar>
              <w:top w:w="100" w:type="dxa"/>
              <w:left w:w="100" w:type="dxa"/>
              <w:bottom w:w="100" w:type="dxa"/>
              <w:right w:w="100" w:type="dxa"/>
            </w:tcMar>
          </w:tcPr>
          <w:p w14:paraId="69F0CA8E" w14:textId="77777777" w:rsidR="004F77CE" w:rsidRPr="005E375A" w:rsidRDefault="004F77CE" w:rsidP="00956BA2">
            <w:pPr>
              <w:widowControl w:val="0"/>
              <w:rPr>
                <w:rFonts w:ascii="Arial" w:hAnsi="Arial" w:cs="Arial"/>
                <w:sz w:val="20"/>
                <w:szCs w:val="20"/>
              </w:rPr>
            </w:pPr>
          </w:p>
        </w:tc>
        <w:tc>
          <w:tcPr>
            <w:tcW w:w="765" w:type="dxa"/>
            <w:shd w:val="clear" w:color="auto" w:fill="BF8F00" w:themeFill="accent4" w:themeFillShade="BF"/>
            <w:tcMar>
              <w:top w:w="100" w:type="dxa"/>
              <w:left w:w="100" w:type="dxa"/>
              <w:bottom w:w="100" w:type="dxa"/>
              <w:right w:w="100" w:type="dxa"/>
            </w:tcMar>
          </w:tcPr>
          <w:p w14:paraId="55979748" w14:textId="77777777" w:rsidR="004F77CE" w:rsidRPr="005E375A" w:rsidRDefault="004F77CE" w:rsidP="00956BA2">
            <w:pPr>
              <w:widowControl w:val="0"/>
              <w:rPr>
                <w:rFonts w:ascii="Arial" w:hAnsi="Arial" w:cs="Arial"/>
                <w:sz w:val="20"/>
                <w:szCs w:val="20"/>
              </w:rPr>
            </w:pPr>
          </w:p>
        </w:tc>
        <w:tc>
          <w:tcPr>
            <w:tcW w:w="720" w:type="dxa"/>
            <w:shd w:val="clear" w:color="auto" w:fill="BF8F00" w:themeFill="accent4" w:themeFillShade="BF"/>
            <w:tcMar>
              <w:top w:w="100" w:type="dxa"/>
              <w:left w:w="100" w:type="dxa"/>
              <w:bottom w:w="100" w:type="dxa"/>
              <w:right w:w="100" w:type="dxa"/>
            </w:tcMar>
          </w:tcPr>
          <w:p w14:paraId="33937C00" w14:textId="77777777" w:rsidR="004F77CE" w:rsidRPr="005E375A" w:rsidRDefault="004F77CE" w:rsidP="00956BA2">
            <w:pPr>
              <w:widowControl w:val="0"/>
              <w:rPr>
                <w:rFonts w:ascii="Arial" w:hAnsi="Arial" w:cs="Arial"/>
                <w:sz w:val="20"/>
                <w:szCs w:val="20"/>
              </w:rPr>
            </w:pPr>
          </w:p>
        </w:tc>
        <w:tc>
          <w:tcPr>
            <w:tcW w:w="675" w:type="dxa"/>
            <w:shd w:val="clear" w:color="auto" w:fill="auto"/>
            <w:tcMar>
              <w:top w:w="100" w:type="dxa"/>
              <w:left w:w="100" w:type="dxa"/>
              <w:bottom w:w="100" w:type="dxa"/>
              <w:right w:w="100" w:type="dxa"/>
            </w:tcMar>
          </w:tcPr>
          <w:p w14:paraId="3C08D37B" w14:textId="77777777" w:rsidR="004F77CE" w:rsidRPr="005E375A" w:rsidRDefault="004F77CE" w:rsidP="00956BA2">
            <w:pPr>
              <w:widowControl w:val="0"/>
              <w:rPr>
                <w:rFonts w:ascii="Arial" w:hAnsi="Arial" w:cs="Arial"/>
                <w:sz w:val="20"/>
                <w:szCs w:val="20"/>
              </w:rPr>
            </w:pPr>
          </w:p>
        </w:tc>
      </w:tr>
      <w:tr w:rsidR="00A24702" w:rsidRPr="004F77CE" w14:paraId="0A17E2E3" w14:textId="77777777" w:rsidTr="00A24702">
        <w:trPr>
          <w:trHeight w:val="660"/>
        </w:trPr>
        <w:tc>
          <w:tcPr>
            <w:tcW w:w="8145" w:type="dxa"/>
            <w:shd w:val="clear" w:color="auto" w:fill="auto"/>
            <w:tcMar>
              <w:top w:w="100" w:type="dxa"/>
              <w:left w:w="100" w:type="dxa"/>
              <w:bottom w:w="100" w:type="dxa"/>
              <w:right w:w="100" w:type="dxa"/>
            </w:tcMar>
          </w:tcPr>
          <w:p w14:paraId="2F866679" w14:textId="77777777" w:rsidR="004F77CE" w:rsidRPr="005E375A" w:rsidRDefault="004F77CE" w:rsidP="00956BA2">
            <w:pPr>
              <w:widowControl w:val="0"/>
              <w:rPr>
                <w:rFonts w:ascii="Arial" w:hAnsi="Arial" w:cs="Arial"/>
                <w:sz w:val="20"/>
                <w:szCs w:val="20"/>
              </w:rPr>
            </w:pPr>
            <w:r w:rsidRPr="005E375A">
              <w:rPr>
                <w:rFonts w:ascii="Arial" w:hAnsi="Arial" w:cs="Arial"/>
                <w:sz w:val="20"/>
                <w:szCs w:val="20"/>
              </w:rPr>
              <w:t>Reconvene group virtually and agree final suggestions</w:t>
            </w:r>
          </w:p>
        </w:tc>
        <w:tc>
          <w:tcPr>
            <w:tcW w:w="765" w:type="dxa"/>
            <w:shd w:val="clear" w:color="auto" w:fill="auto"/>
            <w:tcMar>
              <w:top w:w="100" w:type="dxa"/>
              <w:left w:w="100" w:type="dxa"/>
              <w:bottom w:w="100" w:type="dxa"/>
              <w:right w:w="100" w:type="dxa"/>
            </w:tcMar>
          </w:tcPr>
          <w:p w14:paraId="5215EF1F" w14:textId="77777777" w:rsidR="004F77CE" w:rsidRPr="005E375A" w:rsidRDefault="004F77CE" w:rsidP="00956BA2">
            <w:pPr>
              <w:widowControl w:val="0"/>
              <w:rPr>
                <w:rFonts w:ascii="Arial" w:hAnsi="Arial" w:cs="Arial"/>
                <w:sz w:val="20"/>
                <w:szCs w:val="20"/>
              </w:rPr>
            </w:pPr>
          </w:p>
        </w:tc>
        <w:tc>
          <w:tcPr>
            <w:tcW w:w="765" w:type="dxa"/>
            <w:shd w:val="clear" w:color="auto" w:fill="auto"/>
            <w:tcMar>
              <w:top w:w="100" w:type="dxa"/>
              <w:left w:w="100" w:type="dxa"/>
              <w:bottom w:w="100" w:type="dxa"/>
              <w:right w:w="100" w:type="dxa"/>
            </w:tcMar>
          </w:tcPr>
          <w:p w14:paraId="2E8356D3" w14:textId="77777777" w:rsidR="004F77CE" w:rsidRPr="005E375A" w:rsidRDefault="004F77CE" w:rsidP="00956BA2">
            <w:pPr>
              <w:widowControl w:val="0"/>
              <w:rPr>
                <w:rFonts w:ascii="Arial" w:hAnsi="Arial" w:cs="Arial"/>
                <w:sz w:val="20"/>
                <w:szCs w:val="20"/>
              </w:rPr>
            </w:pPr>
          </w:p>
        </w:tc>
        <w:tc>
          <w:tcPr>
            <w:tcW w:w="720" w:type="dxa"/>
            <w:shd w:val="clear" w:color="auto" w:fill="BF8F00" w:themeFill="accent4" w:themeFillShade="BF"/>
            <w:tcMar>
              <w:top w:w="100" w:type="dxa"/>
              <w:left w:w="100" w:type="dxa"/>
              <w:bottom w:w="100" w:type="dxa"/>
              <w:right w:w="100" w:type="dxa"/>
            </w:tcMar>
          </w:tcPr>
          <w:p w14:paraId="7FA698F7" w14:textId="77777777" w:rsidR="004F77CE" w:rsidRPr="005E375A" w:rsidRDefault="004F77CE" w:rsidP="00956BA2">
            <w:pPr>
              <w:widowControl w:val="0"/>
              <w:rPr>
                <w:rFonts w:ascii="Arial" w:hAnsi="Arial" w:cs="Arial"/>
                <w:sz w:val="20"/>
                <w:szCs w:val="20"/>
              </w:rPr>
            </w:pPr>
          </w:p>
        </w:tc>
        <w:tc>
          <w:tcPr>
            <w:tcW w:w="675" w:type="dxa"/>
            <w:shd w:val="clear" w:color="auto" w:fill="auto"/>
            <w:tcMar>
              <w:top w:w="100" w:type="dxa"/>
              <w:left w:w="100" w:type="dxa"/>
              <w:bottom w:w="100" w:type="dxa"/>
              <w:right w:w="100" w:type="dxa"/>
            </w:tcMar>
          </w:tcPr>
          <w:p w14:paraId="35474467" w14:textId="77777777" w:rsidR="004F77CE" w:rsidRPr="005E375A" w:rsidRDefault="004F77CE" w:rsidP="00956BA2">
            <w:pPr>
              <w:widowControl w:val="0"/>
              <w:rPr>
                <w:rFonts w:ascii="Arial" w:hAnsi="Arial" w:cs="Arial"/>
                <w:color w:val="000000" w:themeColor="text1"/>
                <w:sz w:val="20"/>
                <w:szCs w:val="20"/>
              </w:rPr>
            </w:pPr>
          </w:p>
        </w:tc>
      </w:tr>
      <w:tr w:rsidR="004F77CE" w:rsidRPr="004F77CE" w14:paraId="14B22D53" w14:textId="77777777" w:rsidTr="00313807">
        <w:tc>
          <w:tcPr>
            <w:tcW w:w="8145" w:type="dxa"/>
            <w:shd w:val="clear" w:color="auto" w:fill="auto"/>
            <w:tcMar>
              <w:top w:w="100" w:type="dxa"/>
              <w:left w:w="100" w:type="dxa"/>
              <w:bottom w:w="100" w:type="dxa"/>
              <w:right w:w="100" w:type="dxa"/>
            </w:tcMar>
          </w:tcPr>
          <w:p w14:paraId="5167CC2C" w14:textId="77777777" w:rsidR="004F77CE" w:rsidRPr="005E375A" w:rsidRDefault="004F77CE" w:rsidP="00956BA2">
            <w:pPr>
              <w:widowControl w:val="0"/>
              <w:rPr>
                <w:rFonts w:ascii="Arial" w:hAnsi="Arial" w:cs="Arial"/>
                <w:sz w:val="20"/>
                <w:szCs w:val="20"/>
              </w:rPr>
            </w:pPr>
            <w:r w:rsidRPr="005E375A">
              <w:rPr>
                <w:rFonts w:ascii="Arial" w:hAnsi="Arial" w:cs="Arial"/>
                <w:sz w:val="20"/>
                <w:szCs w:val="20"/>
              </w:rPr>
              <w:t xml:space="preserve">Chairs to compile all suggestions and produce </w:t>
            </w:r>
            <w:proofErr w:type="gramStart"/>
            <w:r w:rsidRPr="005E375A">
              <w:rPr>
                <w:rFonts w:ascii="Arial" w:hAnsi="Arial" w:cs="Arial"/>
                <w:sz w:val="20"/>
                <w:szCs w:val="20"/>
              </w:rPr>
              <w:t>1-2 page</w:t>
            </w:r>
            <w:proofErr w:type="gramEnd"/>
            <w:r w:rsidRPr="005E375A">
              <w:rPr>
                <w:rFonts w:ascii="Arial" w:hAnsi="Arial" w:cs="Arial"/>
                <w:sz w:val="20"/>
                <w:szCs w:val="20"/>
              </w:rPr>
              <w:t xml:space="preserve"> summary of process (areas of contention, specific points or responses to particular comments)</w:t>
            </w:r>
          </w:p>
        </w:tc>
        <w:tc>
          <w:tcPr>
            <w:tcW w:w="765" w:type="dxa"/>
            <w:shd w:val="clear" w:color="auto" w:fill="auto"/>
            <w:tcMar>
              <w:top w:w="100" w:type="dxa"/>
              <w:left w:w="100" w:type="dxa"/>
              <w:bottom w:w="100" w:type="dxa"/>
              <w:right w:w="100" w:type="dxa"/>
            </w:tcMar>
          </w:tcPr>
          <w:p w14:paraId="1610862F" w14:textId="77777777" w:rsidR="004F77CE" w:rsidRPr="005E375A" w:rsidRDefault="004F77CE" w:rsidP="00956BA2">
            <w:pPr>
              <w:widowControl w:val="0"/>
              <w:rPr>
                <w:rFonts w:ascii="Arial" w:hAnsi="Arial" w:cs="Arial"/>
                <w:sz w:val="20"/>
                <w:szCs w:val="20"/>
              </w:rPr>
            </w:pPr>
          </w:p>
        </w:tc>
        <w:tc>
          <w:tcPr>
            <w:tcW w:w="765" w:type="dxa"/>
            <w:shd w:val="clear" w:color="auto" w:fill="auto"/>
            <w:tcMar>
              <w:top w:w="100" w:type="dxa"/>
              <w:left w:w="100" w:type="dxa"/>
              <w:bottom w:w="100" w:type="dxa"/>
              <w:right w:w="100" w:type="dxa"/>
            </w:tcMar>
          </w:tcPr>
          <w:p w14:paraId="12F87685" w14:textId="77777777" w:rsidR="004F77CE" w:rsidRPr="005E375A" w:rsidRDefault="004F77CE" w:rsidP="00956BA2">
            <w:pPr>
              <w:widowControl w:val="0"/>
              <w:rPr>
                <w:rFonts w:ascii="Arial" w:hAnsi="Arial" w:cs="Arial"/>
                <w:sz w:val="20"/>
                <w:szCs w:val="20"/>
              </w:rPr>
            </w:pPr>
          </w:p>
        </w:tc>
        <w:tc>
          <w:tcPr>
            <w:tcW w:w="720" w:type="dxa"/>
            <w:shd w:val="clear" w:color="auto" w:fill="BF8F00" w:themeFill="accent4" w:themeFillShade="BF"/>
            <w:tcMar>
              <w:top w:w="100" w:type="dxa"/>
              <w:left w:w="100" w:type="dxa"/>
              <w:bottom w:w="100" w:type="dxa"/>
              <w:right w:w="100" w:type="dxa"/>
            </w:tcMar>
          </w:tcPr>
          <w:p w14:paraId="60E77DB1" w14:textId="77777777" w:rsidR="004F77CE" w:rsidRPr="005E375A" w:rsidRDefault="004F77CE" w:rsidP="00956BA2">
            <w:pPr>
              <w:widowControl w:val="0"/>
              <w:rPr>
                <w:rFonts w:ascii="Arial" w:hAnsi="Arial" w:cs="Arial"/>
                <w:sz w:val="20"/>
                <w:szCs w:val="20"/>
              </w:rPr>
            </w:pPr>
          </w:p>
        </w:tc>
        <w:tc>
          <w:tcPr>
            <w:tcW w:w="675" w:type="dxa"/>
            <w:shd w:val="clear" w:color="auto" w:fill="BF8F00" w:themeFill="accent4" w:themeFillShade="BF"/>
            <w:tcMar>
              <w:top w:w="100" w:type="dxa"/>
              <w:left w:w="100" w:type="dxa"/>
              <w:bottom w:w="100" w:type="dxa"/>
              <w:right w:w="100" w:type="dxa"/>
            </w:tcMar>
          </w:tcPr>
          <w:p w14:paraId="2BCDE40A" w14:textId="77777777" w:rsidR="004F77CE" w:rsidRPr="005E375A" w:rsidRDefault="004F77CE" w:rsidP="00956BA2">
            <w:pPr>
              <w:widowControl w:val="0"/>
              <w:rPr>
                <w:rFonts w:ascii="Arial" w:hAnsi="Arial" w:cs="Arial"/>
                <w:color w:val="000000" w:themeColor="text1"/>
                <w:sz w:val="20"/>
                <w:szCs w:val="20"/>
              </w:rPr>
            </w:pPr>
          </w:p>
        </w:tc>
      </w:tr>
      <w:tr w:rsidR="004F77CE" w:rsidRPr="004F77CE" w14:paraId="0BDF48C2" w14:textId="77777777" w:rsidTr="00313807">
        <w:tc>
          <w:tcPr>
            <w:tcW w:w="8145" w:type="dxa"/>
            <w:shd w:val="clear" w:color="auto" w:fill="auto"/>
            <w:tcMar>
              <w:top w:w="100" w:type="dxa"/>
              <w:left w:w="100" w:type="dxa"/>
              <w:bottom w:w="100" w:type="dxa"/>
              <w:right w:w="100" w:type="dxa"/>
            </w:tcMar>
          </w:tcPr>
          <w:p w14:paraId="12818CE4" w14:textId="77777777" w:rsidR="004F77CE" w:rsidRPr="005E375A" w:rsidRDefault="004F77CE" w:rsidP="00956BA2">
            <w:pPr>
              <w:widowControl w:val="0"/>
              <w:rPr>
                <w:rFonts w:ascii="Arial" w:hAnsi="Arial" w:cs="Arial"/>
                <w:sz w:val="20"/>
                <w:szCs w:val="20"/>
              </w:rPr>
            </w:pPr>
            <w:r w:rsidRPr="005E375A">
              <w:rPr>
                <w:rFonts w:ascii="Arial" w:hAnsi="Arial" w:cs="Arial"/>
                <w:sz w:val="20"/>
                <w:szCs w:val="20"/>
              </w:rPr>
              <w:t>Group recommendations considered at the IODC</w:t>
            </w:r>
          </w:p>
        </w:tc>
        <w:tc>
          <w:tcPr>
            <w:tcW w:w="765" w:type="dxa"/>
            <w:shd w:val="clear" w:color="auto" w:fill="auto"/>
            <w:tcMar>
              <w:top w:w="100" w:type="dxa"/>
              <w:left w:w="100" w:type="dxa"/>
              <w:bottom w:w="100" w:type="dxa"/>
              <w:right w:w="100" w:type="dxa"/>
            </w:tcMar>
          </w:tcPr>
          <w:p w14:paraId="0F06C21A" w14:textId="77777777" w:rsidR="004F77CE" w:rsidRPr="005E375A" w:rsidRDefault="004F77CE" w:rsidP="00956BA2">
            <w:pPr>
              <w:widowControl w:val="0"/>
              <w:rPr>
                <w:rFonts w:ascii="Arial" w:hAnsi="Arial" w:cs="Arial"/>
                <w:sz w:val="20"/>
                <w:szCs w:val="20"/>
              </w:rPr>
            </w:pPr>
          </w:p>
        </w:tc>
        <w:tc>
          <w:tcPr>
            <w:tcW w:w="765" w:type="dxa"/>
            <w:shd w:val="clear" w:color="auto" w:fill="auto"/>
            <w:tcMar>
              <w:top w:w="100" w:type="dxa"/>
              <w:left w:w="100" w:type="dxa"/>
              <w:bottom w:w="100" w:type="dxa"/>
              <w:right w:w="100" w:type="dxa"/>
            </w:tcMar>
          </w:tcPr>
          <w:p w14:paraId="11510690" w14:textId="77777777" w:rsidR="004F77CE" w:rsidRPr="005E375A" w:rsidRDefault="004F77CE" w:rsidP="00956BA2">
            <w:pPr>
              <w:widowControl w:val="0"/>
              <w:rPr>
                <w:rFonts w:ascii="Arial" w:hAnsi="Arial" w:cs="Arial"/>
                <w:sz w:val="20"/>
                <w:szCs w:val="20"/>
              </w:rPr>
            </w:pPr>
          </w:p>
        </w:tc>
        <w:tc>
          <w:tcPr>
            <w:tcW w:w="720" w:type="dxa"/>
            <w:shd w:val="clear" w:color="auto" w:fill="auto"/>
            <w:tcMar>
              <w:top w:w="100" w:type="dxa"/>
              <w:left w:w="100" w:type="dxa"/>
              <w:bottom w:w="100" w:type="dxa"/>
              <w:right w:w="100" w:type="dxa"/>
            </w:tcMar>
          </w:tcPr>
          <w:p w14:paraId="6C756EBE" w14:textId="77777777" w:rsidR="004F77CE" w:rsidRPr="005E375A" w:rsidRDefault="004F77CE" w:rsidP="00956BA2">
            <w:pPr>
              <w:widowControl w:val="0"/>
              <w:rPr>
                <w:rFonts w:ascii="Arial" w:hAnsi="Arial" w:cs="Arial"/>
                <w:sz w:val="20"/>
                <w:szCs w:val="20"/>
              </w:rPr>
            </w:pPr>
          </w:p>
        </w:tc>
        <w:tc>
          <w:tcPr>
            <w:tcW w:w="675" w:type="dxa"/>
            <w:shd w:val="clear" w:color="auto" w:fill="BF8F00" w:themeFill="accent4" w:themeFillShade="BF"/>
            <w:tcMar>
              <w:top w:w="100" w:type="dxa"/>
              <w:left w:w="100" w:type="dxa"/>
              <w:bottom w:w="100" w:type="dxa"/>
              <w:right w:w="100" w:type="dxa"/>
            </w:tcMar>
          </w:tcPr>
          <w:p w14:paraId="70266435" w14:textId="77777777" w:rsidR="004F77CE" w:rsidRPr="005E375A" w:rsidRDefault="004F77CE" w:rsidP="00956BA2">
            <w:pPr>
              <w:widowControl w:val="0"/>
              <w:rPr>
                <w:rFonts w:ascii="Arial" w:hAnsi="Arial" w:cs="Arial"/>
                <w:sz w:val="20"/>
                <w:szCs w:val="20"/>
              </w:rPr>
            </w:pPr>
          </w:p>
        </w:tc>
      </w:tr>
    </w:tbl>
    <w:p w14:paraId="0FF6E590" w14:textId="77777777" w:rsidR="005E375A" w:rsidRPr="004F77CE" w:rsidRDefault="005E375A" w:rsidP="004F77CE">
      <w:pPr>
        <w:rPr>
          <w:rFonts w:ascii="Arial" w:hAnsi="Arial" w:cs="Arial"/>
          <w:sz w:val="22"/>
          <w:szCs w:val="22"/>
        </w:rPr>
      </w:pPr>
    </w:p>
    <w:tbl>
      <w:tblPr>
        <w:tblW w:w="11220" w:type="dxa"/>
        <w:tblInd w:w="-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6"/>
        <w:gridCol w:w="4962"/>
        <w:gridCol w:w="3662"/>
      </w:tblGrid>
      <w:tr w:rsidR="004F77CE" w:rsidRPr="004F77CE" w14:paraId="3AA031B3" w14:textId="77777777" w:rsidTr="005E375A">
        <w:trPr>
          <w:trHeight w:val="213"/>
        </w:trPr>
        <w:tc>
          <w:tcPr>
            <w:tcW w:w="11220" w:type="dxa"/>
            <w:gridSpan w:val="3"/>
            <w:shd w:val="clear" w:color="auto" w:fill="F6B26B"/>
            <w:tcMar>
              <w:top w:w="100" w:type="dxa"/>
              <w:left w:w="100" w:type="dxa"/>
              <w:bottom w:w="100" w:type="dxa"/>
              <w:right w:w="100" w:type="dxa"/>
            </w:tcMar>
          </w:tcPr>
          <w:p w14:paraId="0DD189CD" w14:textId="77777777" w:rsidR="004F77CE" w:rsidRPr="005E375A" w:rsidRDefault="004F77CE" w:rsidP="00956BA2">
            <w:pPr>
              <w:widowControl w:val="0"/>
              <w:jc w:val="center"/>
              <w:rPr>
                <w:rFonts w:ascii="Arial" w:hAnsi="Arial" w:cs="Arial"/>
                <w:b/>
                <w:sz w:val="20"/>
                <w:szCs w:val="20"/>
              </w:rPr>
            </w:pPr>
            <w:r w:rsidRPr="005E375A">
              <w:rPr>
                <w:rFonts w:ascii="Arial" w:hAnsi="Arial" w:cs="Arial"/>
                <w:b/>
                <w:sz w:val="20"/>
                <w:szCs w:val="20"/>
              </w:rPr>
              <w:t>Areas of focus</w:t>
            </w:r>
          </w:p>
        </w:tc>
      </w:tr>
      <w:tr w:rsidR="004F77CE" w:rsidRPr="004F77CE" w14:paraId="12F673C7" w14:textId="77777777" w:rsidTr="005E375A">
        <w:tc>
          <w:tcPr>
            <w:tcW w:w="2596" w:type="dxa"/>
            <w:shd w:val="clear" w:color="auto" w:fill="F9CB9C"/>
            <w:tcMar>
              <w:top w:w="100" w:type="dxa"/>
              <w:left w:w="100" w:type="dxa"/>
              <w:bottom w:w="100" w:type="dxa"/>
              <w:right w:w="100" w:type="dxa"/>
            </w:tcMar>
          </w:tcPr>
          <w:p w14:paraId="2E9F6AA8" w14:textId="77777777" w:rsidR="004F77CE" w:rsidRPr="005E375A" w:rsidRDefault="004F77CE" w:rsidP="00956BA2">
            <w:pPr>
              <w:widowControl w:val="0"/>
              <w:rPr>
                <w:rFonts w:ascii="Arial" w:hAnsi="Arial" w:cs="Arial"/>
                <w:sz w:val="20"/>
                <w:szCs w:val="20"/>
              </w:rPr>
            </w:pPr>
            <w:r w:rsidRPr="005E375A">
              <w:rPr>
                <w:rFonts w:ascii="Arial" w:hAnsi="Arial" w:cs="Arial"/>
                <w:b/>
                <w:sz w:val="20"/>
                <w:szCs w:val="20"/>
              </w:rPr>
              <w:t>Expert Group 1: Open by Default (Principle 1)</w:t>
            </w:r>
          </w:p>
        </w:tc>
        <w:tc>
          <w:tcPr>
            <w:tcW w:w="4962" w:type="dxa"/>
            <w:shd w:val="clear" w:color="auto" w:fill="F9CB9C"/>
            <w:tcMar>
              <w:top w:w="100" w:type="dxa"/>
              <w:left w:w="100" w:type="dxa"/>
              <w:bottom w:w="100" w:type="dxa"/>
              <w:right w:w="100" w:type="dxa"/>
            </w:tcMar>
          </w:tcPr>
          <w:p w14:paraId="34CB8593" w14:textId="77777777" w:rsidR="004F77CE" w:rsidRPr="005E375A" w:rsidRDefault="004F77CE" w:rsidP="00956BA2">
            <w:pPr>
              <w:widowControl w:val="0"/>
              <w:rPr>
                <w:rFonts w:ascii="Arial" w:hAnsi="Arial" w:cs="Arial"/>
                <w:sz w:val="20"/>
                <w:szCs w:val="20"/>
              </w:rPr>
            </w:pPr>
            <w:r w:rsidRPr="005E375A">
              <w:rPr>
                <w:rFonts w:ascii="Arial" w:hAnsi="Arial" w:cs="Arial"/>
                <w:b/>
                <w:sz w:val="20"/>
                <w:szCs w:val="20"/>
              </w:rPr>
              <w:t>Expert Group 2: Data Infrastructure issues (Principles 2, 3, 4)</w:t>
            </w:r>
          </w:p>
        </w:tc>
        <w:tc>
          <w:tcPr>
            <w:tcW w:w="3662" w:type="dxa"/>
            <w:shd w:val="clear" w:color="auto" w:fill="F9CB9C"/>
            <w:tcMar>
              <w:top w:w="100" w:type="dxa"/>
              <w:left w:w="100" w:type="dxa"/>
              <w:bottom w:w="100" w:type="dxa"/>
              <w:right w:w="100" w:type="dxa"/>
            </w:tcMar>
          </w:tcPr>
          <w:p w14:paraId="7ED02A5F" w14:textId="77777777" w:rsidR="004F77CE" w:rsidRPr="005E375A" w:rsidRDefault="004F77CE" w:rsidP="00956BA2">
            <w:pPr>
              <w:widowControl w:val="0"/>
              <w:rPr>
                <w:rFonts w:ascii="Arial" w:hAnsi="Arial" w:cs="Arial"/>
                <w:sz w:val="20"/>
                <w:szCs w:val="20"/>
              </w:rPr>
            </w:pPr>
            <w:r w:rsidRPr="005E375A">
              <w:rPr>
                <w:rFonts w:ascii="Arial" w:hAnsi="Arial" w:cs="Arial"/>
                <w:b/>
                <w:sz w:val="20"/>
                <w:szCs w:val="20"/>
              </w:rPr>
              <w:t>Expert Group 3: Publishing with Purpose (Principles 5, 6)</w:t>
            </w:r>
          </w:p>
        </w:tc>
      </w:tr>
      <w:tr w:rsidR="004F77CE" w:rsidRPr="004F77CE" w14:paraId="140E4BC0" w14:textId="77777777" w:rsidTr="005E375A">
        <w:trPr>
          <w:trHeight w:val="6120"/>
        </w:trPr>
        <w:tc>
          <w:tcPr>
            <w:tcW w:w="2596" w:type="dxa"/>
            <w:shd w:val="clear" w:color="auto" w:fill="auto"/>
            <w:tcMar>
              <w:top w:w="100" w:type="dxa"/>
              <w:left w:w="100" w:type="dxa"/>
              <w:bottom w:w="100" w:type="dxa"/>
              <w:right w:w="100" w:type="dxa"/>
            </w:tcMar>
          </w:tcPr>
          <w:p w14:paraId="13C4571D" w14:textId="77777777" w:rsidR="004F77CE" w:rsidRPr="005E375A" w:rsidRDefault="004F77CE" w:rsidP="00956BA2">
            <w:pPr>
              <w:widowControl w:val="0"/>
              <w:rPr>
                <w:rFonts w:ascii="Arial" w:hAnsi="Arial" w:cs="Arial"/>
                <w:sz w:val="20"/>
                <w:szCs w:val="20"/>
              </w:rPr>
            </w:pPr>
            <w:r w:rsidRPr="005E375A">
              <w:rPr>
                <w:rFonts w:ascii="Arial" w:hAnsi="Arial" w:cs="Arial"/>
                <w:sz w:val="20"/>
                <w:szCs w:val="20"/>
              </w:rPr>
              <w:t xml:space="preserve">This Group will bring together experts that have data governance, protection of privacy and/or public policy skills. </w:t>
            </w:r>
          </w:p>
          <w:p w14:paraId="6E4EA164" w14:textId="77777777" w:rsidR="004F77CE" w:rsidRPr="005E375A" w:rsidRDefault="004F77CE" w:rsidP="00956BA2">
            <w:pPr>
              <w:widowControl w:val="0"/>
              <w:rPr>
                <w:rFonts w:ascii="Arial" w:hAnsi="Arial" w:cs="Arial"/>
                <w:sz w:val="20"/>
                <w:szCs w:val="20"/>
              </w:rPr>
            </w:pPr>
          </w:p>
          <w:p w14:paraId="59925976" w14:textId="77777777" w:rsidR="004F77CE" w:rsidRPr="005E375A" w:rsidRDefault="004F77CE" w:rsidP="00956BA2">
            <w:pPr>
              <w:widowControl w:val="0"/>
              <w:rPr>
                <w:rFonts w:ascii="Arial" w:hAnsi="Arial" w:cs="Arial"/>
                <w:sz w:val="20"/>
                <w:szCs w:val="20"/>
              </w:rPr>
            </w:pPr>
            <w:r w:rsidRPr="005E375A">
              <w:rPr>
                <w:rFonts w:ascii="Arial" w:hAnsi="Arial" w:cs="Arial"/>
                <w:sz w:val="20"/>
                <w:szCs w:val="20"/>
              </w:rPr>
              <w:t xml:space="preserve">The Group will seek to better understand how governments can work to become open by default </w:t>
            </w:r>
            <w:r w:rsidRPr="005E375A">
              <w:rPr>
                <w:rFonts w:ascii="Arial" w:hAnsi="Arial" w:cs="Arial"/>
                <w:b/>
                <w:sz w:val="20"/>
                <w:szCs w:val="20"/>
              </w:rPr>
              <w:t>(Principle 1)</w:t>
            </w:r>
            <w:r w:rsidRPr="005E375A">
              <w:rPr>
                <w:rFonts w:ascii="Arial" w:hAnsi="Arial" w:cs="Arial"/>
                <w:sz w:val="20"/>
                <w:szCs w:val="20"/>
              </w:rPr>
              <w:t xml:space="preserve">. A presumption of publication for all needs to be prioritised with a focus on publishing with purpose and balanced with proper measures to safeguard privacy. Governments need to justify data that is kept closed, for example for security or data protection reasons. To make this work, citizens must also feel confident that open data will not compromise their right to privacy. </w:t>
            </w:r>
          </w:p>
        </w:tc>
        <w:tc>
          <w:tcPr>
            <w:tcW w:w="4962" w:type="dxa"/>
            <w:shd w:val="clear" w:color="auto" w:fill="auto"/>
            <w:tcMar>
              <w:top w:w="100" w:type="dxa"/>
              <w:left w:w="100" w:type="dxa"/>
              <w:bottom w:w="100" w:type="dxa"/>
              <w:right w:w="100" w:type="dxa"/>
            </w:tcMar>
          </w:tcPr>
          <w:p w14:paraId="5E7EDF81" w14:textId="77777777" w:rsidR="004F77CE" w:rsidRPr="005E375A" w:rsidRDefault="004F77CE" w:rsidP="00956BA2">
            <w:pPr>
              <w:widowControl w:val="0"/>
              <w:rPr>
                <w:rFonts w:ascii="Arial" w:hAnsi="Arial" w:cs="Arial"/>
                <w:sz w:val="20"/>
                <w:szCs w:val="20"/>
              </w:rPr>
            </w:pPr>
            <w:r w:rsidRPr="005E375A">
              <w:rPr>
                <w:rFonts w:ascii="Arial" w:hAnsi="Arial" w:cs="Arial"/>
                <w:sz w:val="20"/>
                <w:szCs w:val="20"/>
              </w:rPr>
              <w:t xml:space="preserve">This Group will bring together a mixture of technical experts to address how technologies, standards and formats can improve the usability of open data. </w:t>
            </w:r>
          </w:p>
          <w:p w14:paraId="44513752" w14:textId="77777777" w:rsidR="004F77CE" w:rsidRPr="005E375A" w:rsidRDefault="004F77CE" w:rsidP="00956BA2">
            <w:pPr>
              <w:widowControl w:val="0"/>
              <w:rPr>
                <w:rFonts w:ascii="Arial" w:hAnsi="Arial" w:cs="Arial"/>
                <w:sz w:val="20"/>
                <w:szCs w:val="20"/>
              </w:rPr>
            </w:pPr>
          </w:p>
          <w:p w14:paraId="7AC42E5C" w14:textId="77777777" w:rsidR="004F77CE" w:rsidRPr="005E375A" w:rsidRDefault="004F77CE" w:rsidP="00956BA2">
            <w:pPr>
              <w:widowControl w:val="0"/>
              <w:rPr>
                <w:rFonts w:ascii="Arial" w:hAnsi="Arial" w:cs="Arial"/>
                <w:sz w:val="20"/>
                <w:szCs w:val="20"/>
              </w:rPr>
            </w:pPr>
            <w:r w:rsidRPr="005E375A">
              <w:rPr>
                <w:rFonts w:ascii="Arial" w:hAnsi="Arial" w:cs="Arial"/>
                <w:sz w:val="20"/>
                <w:szCs w:val="20"/>
              </w:rPr>
              <w:t xml:space="preserve">Timely and Comprehensive open data </w:t>
            </w:r>
            <w:r w:rsidRPr="005E375A">
              <w:rPr>
                <w:rFonts w:ascii="Arial" w:hAnsi="Arial" w:cs="Arial"/>
                <w:b/>
                <w:sz w:val="20"/>
                <w:szCs w:val="20"/>
              </w:rPr>
              <w:t>(Principle 2)</w:t>
            </w:r>
            <w:r w:rsidRPr="005E375A">
              <w:rPr>
                <w:rFonts w:ascii="Arial" w:hAnsi="Arial" w:cs="Arial"/>
                <w:sz w:val="20"/>
                <w:szCs w:val="20"/>
              </w:rPr>
              <w:t xml:space="preserve"> is only valuable if it is relevant. Getting information published quickly and in a comprehensive way is central to its potential for success. To the extent possible, governments should provide data in its original, unmodified form. </w:t>
            </w:r>
          </w:p>
          <w:p w14:paraId="53337D00" w14:textId="77777777" w:rsidR="004F77CE" w:rsidRPr="005E375A" w:rsidRDefault="004F77CE" w:rsidP="00956BA2">
            <w:pPr>
              <w:widowControl w:val="0"/>
              <w:rPr>
                <w:rFonts w:ascii="Arial" w:hAnsi="Arial" w:cs="Arial"/>
                <w:sz w:val="20"/>
                <w:szCs w:val="20"/>
              </w:rPr>
            </w:pPr>
          </w:p>
          <w:p w14:paraId="794F5352" w14:textId="77777777" w:rsidR="004F77CE" w:rsidRPr="005E375A" w:rsidRDefault="004F77CE" w:rsidP="00956BA2">
            <w:pPr>
              <w:widowControl w:val="0"/>
              <w:rPr>
                <w:rFonts w:ascii="Arial" w:hAnsi="Arial" w:cs="Arial"/>
                <w:sz w:val="20"/>
                <w:szCs w:val="20"/>
              </w:rPr>
            </w:pPr>
            <w:r w:rsidRPr="005E375A">
              <w:rPr>
                <w:rFonts w:ascii="Arial" w:hAnsi="Arial" w:cs="Arial"/>
                <w:sz w:val="20"/>
                <w:szCs w:val="20"/>
              </w:rPr>
              <w:t xml:space="preserve">Accessible and Usable open data </w:t>
            </w:r>
            <w:r w:rsidRPr="005E375A">
              <w:rPr>
                <w:rFonts w:ascii="Arial" w:hAnsi="Arial" w:cs="Arial"/>
                <w:b/>
                <w:sz w:val="20"/>
                <w:szCs w:val="20"/>
              </w:rPr>
              <w:t>(Principle 3)</w:t>
            </w:r>
            <w:r w:rsidRPr="005E375A">
              <w:rPr>
                <w:rFonts w:ascii="Arial" w:hAnsi="Arial" w:cs="Arial"/>
                <w:sz w:val="20"/>
                <w:szCs w:val="20"/>
              </w:rPr>
              <w:t xml:space="preserve"> requires ensuring that data is machine-readable and easy to find. Portals are one way of achieving </w:t>
            </w:r>
            <w:proofErr w:type="gramStart"/>
            <w:r w:rsidRPr="005E375A">
              <w:rPr>
                <w:rFonts w:ascii="Arial" w:hAnsi="Arial" w:cs="Arial"/>
                <w:sz w:val="20"/>
                <w:szCs w:val="20"/>
              </w:rPr>
              <w:t>this</w:t>
            </w:r>
            <w:proofErr w:type="gramEnd"/>
            <w:r w:rsidRPr="005E375A">
              <w:rPr>
                <w:rFonts w:ascii="Arial" w:hAnsi="Arial" w:cs="Arial"/>
                <w:sz w:val="20"/>
                <w:szCs w:val="20"/>
              </w:rPr>
              <w:t xml:space="preserve"> but it is also important to think about the user experience of those accessing data, including the file formats that information is provided in. Data should be free of charge and published under an open license, for example a Creative Commons license. </w:t>
            </w:r>
          </w:p>
          <w:p w14:paraId="733C6753" w14:textId="77777777" w:rsidR="004F77CE" w:rsidRPr="005E375A" w:rsidRDefault="004F77CE" w:rsidP="00956BA2">
            <w:pPr>
              <w:widowControl w:val="0"/>
              <w:rPr>
                <w:rFonts w:ascii="Arial" w:hAnsi="Arial" w:cs="Arial"/>
                <w:sz w:val="20"/>
                <w:szCs w:val="20"/>
              </w:rPr>
            </w:pPr>
          </w:p>
          <w:p w14:paraId="6F54C2C7" w14:textId="77777777" w:rsidR="004F77CE" w:rsidRPr="005E375A" w:rsidRDefault="004F77CE" w:rsidP="00956BA2">
            <w:pPr>
              <w:widowControl w:val="0"/>
              <w:rPr>
                <w:rFonts w:ascii="Arial" w:hAnsi="Arial" w:cs="Arial"/>
                <w:sz w:val="20"/>
                <w:szCs w:val="20"/>
              </w:rPr>
            </w:pPr>
            <w:r w:rsidRPr="005E375A">
              <w:rPr>
                <w:rFonts w:ascii="Arial" w:hAnsi="Arial" w:cs="Arial"/>
                <w:sz w:val="20"/>
                <w:szCs w:val="20"/>
              </w:rPr>
              <w:t xml:space="preserve">Comparable and Interoperable open data </w:t>
            </w:r>
            <w:r w:rsidRPr="005E375A">
              <w:rPr>
                <w:rFonts w:ascii="Arial" w:hAnsi="Arial" w:cs="Arial"/>
                <w:b/>
                <w:sz w:val="20"/>
                <w:szCs w:val="20"/>
              </w:rPr>
              <w:t>(Principle 4)</w:t>
            </w:r>
            <w:r w:rsidRPr="005E375A">
              <w:rPr>
                <w:rFonts w:ascii="Arial" w:hAnsi="Arial" w:cs="Arial"/>
                <w:sz w:val="20"/>
                <w:szCs w:val="20"/>
              </w:rPr>
              <w:t xml:space="preserve"> has a multiplier effect. The more quality datasets that are accessible, and the easier it is for them to talk to each other, the more potential value can be extracted from them. Commonly agreed data standards play a crucial role in making this happen. </w:t>
            </w:r>
          </w:p>
        </w:tc>
        <w:tc>
          <w:tcPr>
            <w:tcW w:w="3662" w:type="dxa"/>
            <w:shd w:val="clear" w:color="auto" w:fill="auto"/>
            <w:tcMar>
              <w:top w:w="100" w:type="dxa"/>
              <w:left w:w="100" w:type="dxa"/>
              <w:bottom w:w="100" w:type="dxa"/>
              <w:right w:w="100" w:type="dxa"/>
            </w:tcMar>
          </w:tcPr>
          <w:p w14:paraId="21C12E3A" w14:textId="77777777" w:rsidR="004F77CE" w:rsidRPr="005E375A" w:rsidRDefault="004F77CE" w:rsidP="00956BA2">
            <w:pPr>
              <w:widowControl w:val="0"/>
              <w:rPr>
                <w:rFonts w:ascii="Arial" w:hAnsi="Arial" w:cs="Arial"/>
                <w:sz w:val="20"/>
                <w:szCs w:val="20"/>
              </w:rPr>
            </w:pPr>
            <w:r w:rsidRPr="005E375A">
              <w:rPr>
                <w:rFonts w:ascii="Arial" w:hAnsi="Arial" w:cs="Arial"/>
                <w:sz w:val="20"/>
                <w:szCs w:val="20"/>
              </w:rPr>
              <w:t xml:space="preserve">This Group will bring together data users, civic innovation and development-focussed groups. </w:t>
            </w:r>
          </w:p>
          <w:p w14:paraId="0B172A22" w14:textId="77777777" w:rsidR="004F77CE" w:rsidRPr="005E375A" w:rsidRDefault="004F77CE" w:rsidP="00956BA2">
            <w:pPr>
              <w:widowControl w:val="0"/>
              <w:rPr>
                <w:rFonts w:ascii="Arial" w:hAnsi="Arial" w:cs="Arial"/>
                <w:sz w:val="20"/>
                <w:szCs w:val="20"/>
              </w:rPr>
            </w:pPr>
          </w:p>
          <w:p w14:paraId="12B823A2" w14:textId="77777777" w:rsidR="004F77CE" w:rsidRPr="005E375A" w:rsidRDefault="004F77CE" w:rsidP="00956BA2">
            <w:pPr>
              <w:widowControl w:val="0"/>
              <w:rPr>
                <w:rFonts w:ascii="Arial" w:hAnsi="Arial" w:cs="Arial"/>
                <w:sz w:val="20"/>
                <w:szCs w:val="20"/>
              </w:rPr>
            </w:pPr>
            <w:r w:rsidRPr="005E375A">
              <w:rPr>
                <w:rFonts w:ascii="Arial" w:hAnsi="Arial" w:cs="Arial"/>
                <w:sz w:val="20"/>
                <w:szCs w:val="20"/>
              </w:rPr>
              <w:t xml:space="preserve">Open data for Improved Governance and Citizen Engagement </w:t>
            </w:r>
            <w:r w:rsidRPr="005E375A">
              <w:rPr>
                <w:rFonts w:ascii="Arial" w:hAnsi="Arial" w:cs="Arial"/>
                <w:b/>
                <w:sz w:val="20"/>
                <w:szCs w:val="20"/>
              </w:rPr>
              <w:t>(Principle 5)</w:t>
            </w:r>
            <w:r w:rsidRPr="005E375A">
              <w:rPr>
                <w:rFonts w:ascii="Arial" w:hAnsi="Arial" w:cs="Arial"/>
                <w:sz w:val="20"/>
                <w:szCs w:val="20"/>
              </w:rPr>
              <w:t xml:space="preserve"> has the capacity to let citizens (and others in government) have a better idea of what officials and politicians are doing. This transparency can improve public services and help hold governments to account. </w:t>
            </w:r>
          </w:p>
          <w:p w14:paraId="3D3BCA0E" w14:textId="77777777" w:rsidR="004F77CE" w:rsidRPr="005E375A" w:rsidRDefault="004F77CE" w:rsidP="00956BA2">
            <w:pPr>
              <w:widowControl w:val="0"/>
              <w:rPr>
                <w:rFonts w:ascii="Arial" w:hAnsi="Arial" w:cs="Arial"/>
                <w:sz w:val="20"/>
                <w:szCs w:val="20"/>
              </w:rPr>
            </w:pPr>
          </w:p>
          <w:p w14:paraId="39C34A83" w14:textId="77777777" w:rsidR="004F77CE" w:rsidRPr="005E375A" w:rsidRDefault="004F77CE" w:rsidP="00956BA2">
            <w:pPr>
              <w:widowControl w:val="0"/>
              <w:rPr>
                <w:rFonts w:ascii="Arial" w:hAnsi="Arial" w:cs="Arial"/>
                <w:sz w:val="20"/>
                <w:szCs w:val="20"/>
              </w:rPr>
            </w:pPr>
            <w:r w:rsidRPr="005E375A">
              <w:rPr>
                <w:rFonts w:ascii="Arial" w:hAnsi="Arial" w:cs="Arial"/>
                <w:sz w:val="20"/>
                <w:szCs w:val="20"/>
              </w:rPr>
              <w:t xml:space="preserve">Open data for Inclusive Development and Innovation </w:t>
            </w:r>
            <w:r w:rsidRPr="005E375A">
              <w:rPr>
                <w:rFonts w:ascii="Arial" w:hAnsi="Arial" w:cs="Arial"/>
                <w:b/>
                <w:sz w:val="20"/>
                <w:szCs w:val="20"/>
              </w:rPr>
              <w:t xml:space="preserve">(Principle 6) </w:t>
            </w:r>
            <w:r w:rsidRPr="005E375A">
              <w:rPr>
                <w:rFonts w:ascii="Arial" w:hAnsi="Arial" w:cs="Arial"/>
                <w:sz w:val="20"/>
                <w:szCs w:val="20"/>
              </w:rPr>
              <w:t xml:space="preserve">can help spur inclusive economic development. For example, greater access to data can help make farming more efficient, or it can be used to tackle climate change. Finally, we often think of open data as just being about improving government performance but there is a whole universe out there of entrepreneurs making money out of innovations driven by open data. </w:t>
            </w:r>
          </w:p>
        </w:tc>
      </w:tr>
    </w:tbl>
    <w:p w14:paraId="037CB528" w14:textId="77777777" w:rsidR="004F77CE" w:rsidRDefault="004F77CE" w:rsidP="004F77CE">
      <w:pPr>
        <w:rPr>
          <w:sz w:val="20"/>
          <w:szCs w:val="20"/>
        </w:rPr>
      </w:pPr>
    </w:p>
    <w:p w14:paraId="623E800B" w14:textId="77777777" w:rsidR="0019662F" w:rsidRPr="004F77CE" w:rsidRDefault="0019662F" w:rsidP="004F77CE">
      <w:pPr>
        <w:widowControl w:val="0"/>
        <w:jc w:val="both"/>
        <w:rPr>
          <w:rFonts w:ascii="Arial" w:hAnsi="Arial" w:cs="Arial"/>
          <w:sz w:val="22"/>
          <w:szCs w:val="22"/>
        </w:rPr>
      </w:pPr>
    </w:p>
    <w:sectPr w:rsidR="0019662F" w:rsidRPr="004F77CE" w:rsidSect="00E745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1E6C"/>
    <w:multiLevelType w:val="hybridMultilevel"/>
    <w:tmpl w:val="AF389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D757AA"/>
    <w:multiLevelType w:val="multilevel"/>
    <w:tmpl w:val="C8D62F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D876D8B"/>
    <w:multiLevelType w:val="multilevel"/>
    <w:tmpl w:val="80908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C22FE3"/>
    <w:multiLevelType w:val="hybridMultilevel"/>
    <w:tmpl w:val="B29E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525846"/>
    <w:multiLevelType w:val="hybridMultilevel"/>
    <w:tmpl w:val="68A02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9D5974"/>
    <w:multiLevelType w:val="multilevel"/>
    <w:tmpl w:val="E25C67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2F"/>
    <w:rsid w:val="000975CB"/>
    <w:rsid w:val="0019662F"/>
    <w:rsid w:val="00313807"/>
    <w:rsid w:val="004F77CE"/>
    <w:rsid w:val="005007D4"/>
    <w:rsid w:val="005E375A"/>
    <w:rsid w:val="00617F4C"/>
    <w:rsid w:val="00A13E2D"/>
    <w:rsid w:val="00A24702"/>
    <w:rsid w:val="00A97CC6"/>
    <w:rsid w:val="00BF76BE"/>
    <w:rsid w:val="00C454B0"/>
    <w:rsid w:val="00CA32BD"/>
    <w:rsid w:val="00E745AE"/>
    <w:rsid w:val="00FE3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1F4C6B"/>
  <w15:chartTrackingRefBased/>
  <w15:docId w15:val="{E6A810E2-76A1-AD47-B00B-6CAE4144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7CE"/>
    <w:pPr>
      <w:ind w:left="720"/>
      <w:contextualSpacing/>
    </w:pPr>
  </w:style>
  <w:style w:type="table" w:styleId="TableGrid">
    <w:name w:val="Table Grid"/>
    <w:basedOn w:val="TableNormal"/>
    <w:uiPriority w:val="39"/>
    <w:rsid w:val="00A1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F4C"/>
    <w:rPr>
      <w:color w:val="0563C1" w:themeColor="hyperlink"/>
      <w:u w:val="single"/>
    </w:rPr>
  </w:style>
  <w:style w:type="character" w:styleId="UnresolvedMention">
    <w:name w:val="Unresolved Mention"/>
    <w:basedOn w:val="DefaultParagraphFont"/>
    <w:uiPriority w:val="99"/>
    <w:semiHidden/>
    <w:unhideWhenUsed/>
    <w:rsid w:val="00617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dataready.org" TargetMode="External"/><Relationship Id="rId3" Type="http://schemas.openxmlformats.org/officeDocument/2006/relationships/settings" Target="settings.xml"/><Relationship Id="rId7" Type="http://schemas.openxmlformats.org/officeDocument/2006/relationships/hyperlink" Target="mailto:nati@opendatachar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endatacon.org/" TargetMode="External"/><Relationship Id="rId5" Type="http://schemas.openxmlformats.org/officeDocument/2006/relationships/hyperlink" Target="https://opendatacharter.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Orrell</dc:creator>
  <cp:keywords/>
  <dc:description/>
  <cp:lastModifiedBy>Tom Orrell</cp:lastModifiedBy>
  <cp:revision>7</cp:revision>
  <dcterms:created xsi:type="dcterms:W3CDTF">2018-06-04T09:16:00Z</dcterms:created>
  <dcterms:modified xsi:type="dcterms:W3CDTF">2018-06-04T09:54:00Z</dcterms:modified>
</cp:coreProperties>
</file>