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API security: Best practices and guidelines (2 workshops) </w:t>
      </w:r>
    </w:p>
    <w:p w:rsidR="00000000" w:rsidDel="00000000" w:rsidP="00000000" w:rsidRDefault="00000000" w:rsidRPr="00000000" w14:paraId="00000002">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Rule="auto"/>
        <w:rPr>
          <w:rFonts w:ascii="Quicksand" w:cs="Quicksand" w:eastAsia="Quicksand" w:hAnsi="Quicksand"/>
          <w:color w:val="444444"/>
          <w:sz w:val="24"/>
          <w:szCs w:val="24"/>
        </w:rPr>
      </w:pPr>
      <w:r w:rsidDel="00000000" w:rsidR="00000000" w:rsidRPr="00000000">
        <w:rPr>
          <w:rFonts w:ascii="Quicksand" w:cs="Quicksand" w:eastAsia="Quicksand" w:hAnsi="Quicksand"/>
          <w:color w:val="444444"/>
          <w:sz w:val="24"/>
          <w:szCs w:val="24"/>
          <w:rtl w:val="0"/>
        </w:rPr>
        <w:t xml:space="preserve">Modern enterprise and consumers are increasingly adopting APIs, exceeding all predictions. It has become the ‘coolest’ way of exposing business functionalities to the outside world. This increase means you need to be more aware of API security. Both public and private APIs need to be protected, monitored and managed. API security has evolved a lot in the last five years and the growth of standards has been exponential. By following best practices when securing APIs, you will be able to wade through the weeds and keep the bad guys away while reaping the internal and external benefits of developing APIs for your services. This workshop will guide you through the maze of API security options and share industry-leading best practices when designing APIs with rock-solid security.</w:t>
      </w:r>
    </w:p>
    <w:p w:rsidR="00000000" w:rsidDel="00000000" w:rsidP="00000000" w:rsidRDefault="00000000" w:rsidRPr="00000000" w14:paraId="00000004">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5">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6">
      <w:pPr>
        <w:rPr>
          <w:rFonts w:ascii="Quicksand" w:cs="Quicksand" w:eastAsia="Quicksand" w:hAnsi="Quicksand"/>
          <w:b w:val="1"/>
          <w:sz w:val="24"/>
          <w:szCs w:val="24"/>
        </w:rPr>
      </w:pPr>
      <w:r w:rsidDel="00000000" w:rsidR="00000000" w:rsidRPr="00000000">
        <w:rPr>
          <w:rFonts w:ascii="Quicksand" w:cs="Quicksand" w:eastAsia="Quicksand" w:hAnsi="Quicksand"/>
          <w:b w:val="1"/>
          <w:sz w:val="24"/>
          <w:szCs w:val="24"/>
          <w:rtl w:val="0"/>
        </w:rPr>
        <w:t xml:space="preserve">Enterprise IAM use cases </w:t>
      </w:r>
    </w:p>
    <w:p w:rsidR="00000000" w:rsidDel="00000000" w:rsidP="00000000" w:rsidRDefault="00000000" w:rsidRPr="00000000" w14:paraId="00000007">
      <w:pPr>
        <w:rPr>
          <w:rFonts w:ascii="Quicksand" w:cs="Quicksand" w:eastAsia="Quicksand" w:hAnsi="Quicksand"/>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373.33333333333337" w:lineRule="auto"/>
        <w:rPr>
          <w:rFonts w:ascii="Quicksand" w:cs="Quicksand" w:eastAsia="Quicksand" w:hAnsi="Quicksand"/>
          <w:color w:val="444444"/>
          <w:sz w:val="24"/>
          <w:szCs w:val="24"/>
        </w:rPr>
      </w:pPr>
      <w:r w:rsidDel="00000000" w:rsidR="00000000" w:rsidRPr="00000000">
        <w:rPr>
          <w:rFonts w:ascii="Quicksand" w:cs="Quicksand" w:eastAsia="Quicksand" w:hAnsi="Quicksand"/>
          <w:color w:val="444444"/>
          <w:sz w:val="24"/>
          <w:szCs w:val="24"/>
          <w:rtl w:val="0"/>
        </w:rPr>
        <w:t xml:space="preserve">The growth of enterprises result in heterogeneous environments with complex business demands. Some of the biggest identity and access management (IAM) challenges faced by these organizations include inconsistent password policies, excessive identities and directories, diverse and time-consuming auditing processes and an increasing need to stay on top of compliance regulations. Moreover, maintaining an enterprise LAN border is no longer viable as enterprises shift to cloud platforms and adopt SaaS and mobile apps that cross typical security domain boundaries.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373.33333333333337" w:lineRule="auto"/>
        <w:rPr>
          <w:rFonts w:ascii="Quicksand" w:cs="Quicksand" w:eastAsia="Quicksand" w:hAnsi="Quicksand"/>
          <w:color w:val="444444"/>
          <w:sz w:val="24"/>
          <w:szCs w:val="24"/>
        </w:rPr>
      </w:pPr>
      <w:r w:rsidDel="00000000" w:rsidR="00000000" w:rsidRPr="00000000">
        <w:rPr>
          <w:rFonts w:ascii="Quicksand" w:cs="Quicksand" w:eastAsia="Quicksand" w:hAnsi="Quicksand"/>
          <w:color w:val="444444"/>
          <w:sz w:val="24"/>
          <w:szCs w:val="24"/>
          <w:rtl w:val="0"/>
        </w:rPr>
        <w:t xml:space="preserve">Your productivity levels will go down if users can’t access the apps they need, the risk of breach when employees access apps outside of your enterprise will increase and you will face high maintenance costs for legacy systems. To avoid this, you need to implement a modern identity and access management solution that provides seamless user experiences, secures access for employees and partners, easily integrates legacy system as well as cloud and mobile apps, and manages employee data securely and efficiently.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before="220" w:line="373.33333333333337" w:lineRule="auto"/>
        <w:rPr>
          <w:rFonts w:ascii="Quicksand" w:cs="Quicksand" w:eastAsia="Quicksand" w:hAnsi="Quicksand"/>
          <w:color w:val="444444"/>
          <w:sz w:val="24"/>
          <w:szCs w:val="24"/>
        </w:rPr>
      </w:pPr>
      <w:r w:rsidDel="00000000" w:rsidR="00000000" w:rsidRPr="00000000">
        <w:rPr>
          <w:rFonts w:ascii="Quicksand" w:cs="Quicksand" w:eastAsia="Quicksand" w:hAnsi="Quicksand"/>
          <w:color w:val="444444"/>
          <w:sz w:val="24"/>
          <w:szCs w:val="24"/>
          <w:rtl w:val="0"/>
        </w:rPr>
        <w:t xml:space="preserve">Join this workshop to learn how to address these IAM challenges and adopt strategies that lead to efficient, secure and compliant IAM.</w:t>
      </w:r>
    </w:p>
    <w:p w:rsidR="00000000" w:rsidDel="00000000" w:rsidP="00000000" w:rsidRDefault="00000000" w:rsidRPr="00000000" w14:paraId="0000000B">
      <w:pPr>
        <w:numPr>
          <w:ilvl w:val="0"/>
          <w:numId w:val="1"/>
        </w:numPr>
        <w:pBdr>
          <w:top w:color="auto" w:space="2" w:sz="0" w:val="none"/>
          <w:bottom w:color="auto" w:space="0" w:sz="0" w:val="none"/>
          <w:right w:color="auto" w:space="0" w:sz="0" w:val="none"/>
        </w:pBdr>
        <w:spacing w:after="0" w:afterAutospacing="0" w:before="460" w:line="335.99999999999994"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color w:val="333333"/>
          <w:sz w:val="24"/>
          <w:szCs w:val="24"/>
          <w:rtl w:val="0"/>
        </w:rPr>
        <w:t xml:space="preserve">The IAM challenges of complex heterogeneous enterprises</w:t>
      </w:r>
    </w:p>
    <w:p w:rsidR="00000000" w:rsidDel="00000000" w:rsidP="00000000" w:rsidRDefault="00000000" w:rsidRPr="00000000" w14:paraId="0000000C">
      <w:pPr>
        <w:numPr>
          <w:ilvl w:val="0"/>
          <w:numId w:val="1"/>
        </w:numPr>
        <w:pBdr>
          <w:top w:color="auto" w:space="2" w:sz="0" w:val="none"/>
          <w:bottom w:color="auto" w:space="0" w:sz="0" w:val="none"/>
          <w:right w:color="auto" w:space="0" w:sz="0" w:val="none"/>
        </w:pBdr>
        <w:spacing w:after="0" w:afterAutospacing="0" w:before="0" w:beforeAutospacing="0" w:line="335.99999999999994"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color w:val="333333"/>
          <w:sz w:val="24"/>
          <w:szCs w:val="24"/>
          <w:rtl w:val="0"/>
        </w:rPr>
        <w:t xml:space="preserve">Common IAM use cases</w:t>
      </w:r>
    </w:p>
    <w:p w:rsidR="00000000" w:rsidDel="00000000" w:rsidP="00000000" w:rsidRDefault="00000000" w:rsidRPr="00000000" w14:paraId="0000000D">
      <w:pPr>
        <w:numPr>
          <w:ilvl w:val="0"/>
          <w:numId w:val="1"/>
        </w:numPr>
        <w:pBdr>
          <w:top w:color="auto" w:space="2" w:sz="0" w:val="none"/>
          <w:bottom w:color="auto" w:space="0" w:sz="0" w:val="none"/>
          <w:right w:color="auto" w:space="0" w:sz="0" w:val="none"/>
        </w:pBdr>
        <w:spacing w:after="0" w:afterAutospacing="0" w:before="0" w:beforeAutospacing="0" w:line="335.99999999999994" w:lineRule="auto"/>
        <w:ind w:left="720" w:hanging="360"/>
        <w:rPr>
          <w:rFonts w:ascii="Quicksand" w:cs="Quicksand" w:eastAsia="Quicksand" w:hAnsi="Quicksand"/>
          <w:sz w:val="24"/>
          <w:szCs w:val="24"/>
        </w:rPr>
      </w:pPr>
      <w:r w:rsidDel="00000000" w:rsidR="00000000" w:rsidRPr="00000000">
        <w:rPr>
          <w:rFonts w:ascii="Quicksand" w:cs="Quicksand" w:eastAsia="Quicksand" w:hAnsi="Quicksand"/>
          <w:color w:val="333333"/>
          <w:sz w:val="24"/>
          <w:szCs w:val="24"/>
          <w:rtl w:val="0"/>
        </w:rPr>
        <w:t xml:space="preserve">Common patterns for IAM solutions</w:t>
      </w:r>
    </w:p>
    <w:p w:rsidR="00000000" w:rsidDel="00000000" w:rsidP="00000000" w:rsidRDefault="00000000" w:rsidRPr="00000000" w14:paraId="0000000E">
      <w:pPr>
        <w:numPr>
          <w:ilvl w:val="0"/>
          <w:numId w:val="1"/>
        </w:numPr>
        <w:pBdr>
          <w:top w:color="auto" w:space="2" w:sz="0" w:val="none"/>
          <w:bottom w:color="auto" w:space="0" w:sz="0" w:val="none"/>
          <w:right w:color="auto" w:space="0" w:sz="0" w:val="none"/>
        </w:pBdr>
        <w:spacing w:after="680" w:before="0" w:beforeAutospacing="0" w:line="335.99999999999994" w:lineRule="auto"/>
        <w:ind w:left="720" w:hanging="360"/>
        <w:rPr>
          <w:rFonts w:ascii="Quicksand" w:cs="Quicksand" w:eastAsia="Quicksand" w:hAnsi="Quicksand"/>
          <w:color w:val="333333"/>
          <w:sz w:val="24"/>
          <w:szCs w:val="24"/>
          <w:u w:val="none"/>
        </w:rPr>
      </w:pPr>
      <w:r w:rsidDel="00000000" w:rsidR="00000000" w:rsidRPr="00000000">
        <w:rPr>
          <w:rFonts w:ascii="Quicksand" w:cs="Quicksand" w:eastAsia="Quicksand" w:hAnsi="Quicksand"/>
          <w:color w:val="333333"/>
          <w:sz w:val="24"/>
          <w:szCs w:val="24"/>
          <w:rtl w:val="0"/>
        </w:rPr>
        <w:t xml:space="preserve">How the open source WSO2 Identity Server can help (Demos) </w:t>
      </w:r>
    </w:p>
    <w:p w:rsidR="00000000" w:rsidDel="00000000" w:rsidP="00000000" w:rsidRDefault="00000000" w:rsidRPr="00000000" w14:paraId="0000000F">
      <w:pPr>
        <w:rPr>
          <w:rFonts w:ascii="Quicksand" w:cs="Quicksand" w:eastAsia="Quicksand" w:hAnsi="Quicksand"/>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icksand">
    <w:embedRegular w:fontKey="{00000000-0000-0000-0000-000000000000}" r:id="rId1" w:subsetted="0"/>
    <w:embedBold w:fontKey="{00000000-0000-0000-0000-000000000000}" r:id="rId2" w:subsetted="0"/>
  </w:font>
  <w:font w:name="Nuni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unito Sans" w:cs="Nunito Sans" w:eastAsia="Nunito Sans" w:hAnsi="Nunito Sans"/>
        <w:color w:val="3333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unitoSans-regular.ttf"/><Relationship Id="rId4" Type="http://schemas.openxmlformats.org/officeDocument/2006/relationships/font" Target="fonts/NunitoSans-bold.ttf"/><Relationship Id="rId5" Type="http://schemas.openxmlformats.org/officeDocument/2006/relationships/font" Target="fonts/NunitoSans-italic.ttf"/><Relationship Id="rId6"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