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media/image16.jpeg" ContentType="image/jpeg"/>
  <Override PartName="/word/media/image15.png" ContentType="image/png"/>
  <Override PartName="/word/media/image14.png" ContentType="image/png"/>
  <Override PartName="/word/media/image13.png" ContentType="image/png"/>
  <Override PartName="/word/media/image12.jpeg" ContentType="image/jpeg"/>
  <Override PartName="/word/media/image11.png" ContentType="image/png"/>
  <Override PartName="/word/media/image10.jpeg" ContentType="image/jpeg"/>
  <Override PartName="/word/media/image9.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ackground w:color="FFFFFF"/>
  <w:body>
    <w:p>
      <w:pPr>
        <w:pStyle w:val="Normal"/>
        <w:jc w:val="right"/>
        <w:rPr>
          <w:lang w:val="en-US"/>
        </w:rPr>
      </w:pPr>
      <w:r>
        <w:rPr>
          <w:lang w:val="en-US"/>
        </w:rPr>
        <w:t xml:space="preserve">22 </w:t>
      </w:r>
      <w:r>
        <w:rPr/>
        <w:t>Οκτωβρίου</w:t>
      </w:r>
      <w:r>
        <w:rPr>
          <w:lang w:val="en-US"/>
        </w:rPr>
        <w:t xml:space="preserve"> 2014</w:t>
      </w:r>
    </w:p>
    <w:p>
      <w:pPr>
        <w:pStyle w:val="Normal"/>
        <w:spacing w:lineRule="auto" w:line="240"/>
        <w:jc w:val="center"/>
        <w:rPr>
          <w:b/>
          <w:u w:val="single"/>
          <w:lang w:val="en-US"/>
        </w:rPr>
      </w:pPr>
      <w:r>
        <w:rPr>
          <w:b/>
          <w:u w:val="single"/>
          <w:lang w:val="en-US"/>
        </w:rPr>
        <w:t>Bringing Space down to Earth - Smart Cities Services</w:t>
      </w:r>
    </w:p>
    <w:p>
      <w:pPr>
        <w:pStyle w:val="Normal"/>
        <w:spacing w:lineRule="auto" w:line="240" w:before="0" w:after="0"/>
        <w:jc w:val="both"/>
        <w:rPr>
          <w:rFonts w:eastAsia="Arial" w:cs="Arial" w:ascii="Arial" w:hAnsi="Arial"/>
          <w:sz w:val="20"/>
        </w:rPr>
      </w:pPr>
      <w:r>
        <w:rPr>
          <w:rFonts w:eastAsia="Arial" w:cs="Arial" w:ascii="Arial" w:hAnsi="Arial"/>
          <w:sz w:val="20"/>
        </w:rPr>
        <w:t xml:space="preserve">Ο </w:t>
      </w:r>
      <w:hyperlink r:id="rId2">
        <w:r>
          <w:rPr>
            <w:rStyle w:val="InternetLink"/>
            <w:rFonts w:eastAsia="Arial" w:cs="Arial" w:ascii="Arial" w:hAnsi="Arial"/>
            <w:color w:val="1155CC"/>
            <w:sz w:val="20"/>
            <w:u w:val="single"/>
          </w:rPr>
          <w:t>ΣΕΚΕΕ</w:t>
        </w:r>
      </w:hyperlink>
      <w:r>
        <w:rPr>
          <w:rFonts w:eastAsia="Arial" w:cs="Arial" w:ascii="Arial" w:hAnsi="Arial"/>
          <w:sz w:val="20"/>
        </w:rPr>
        <w:t>, σε συνεργασία με την Ένωση Μηχανικών Πληροφορικής και Επικοινωνιών Ελλάδος (</w:t>
      </w:r>
      <w:hyperlink r:id="rId3">
        <w:r>
          <w:rPr>
            <w:rStyle w:val="InternetLink"/>
            <w:rFonts w:eastAsia="Arial" w:cs="Arial" w:ascii="Arial" w:hAnsi="Arial"/>
            <w:color w:val="1155CC"/>
            <w:sz w:val="20"/>
            <w:u w:val="single"/>
          </w:rPr>
          <w:t>ΕΜηΠΕΕ</w:t>
        </w:r>
      </w:hyperlink>
      <w:r>
        <w:rPr>
          <w:rFonts w:eastAsia="Arial" w:cs="Arial" w:ascii="Arial" w:hAnsi="Arial"/>
          <w:sz w:val="20"/>
        </w:rPr>
        <w:t xml:space="preserve">) και την </w:t>
      </w:r>
      <w:hyperlink r:id="rId4">
        <w:r>
          <w:rPr>
            <w:rStyle w:val="InternetLink"/>
            <w:rFonts w:eastAsia="Arial" w:cs="Arial" w:ascii="Arial" w:hAnsi="Arial"/>
            <w:color w:val="1155CC"/>
            <w:sz w:val="20"/>
            <w:u w:val="single"/>
          </w:rPr>
          <w:t>ΕΕΛ/ΛΑΚ</w:t>
        </w:r>
      </w:hyperlink>
      <w:r>
        <w:rPr>
          <w:rFonts w:eastAsia="Arial" w:cs="Arial" w:ascii="Arial" w:hAnsi="Arial"/>
          <w:sz w:val="20"/>
        </w:rPr>
        <w:t>, και με την υποστήριξη του κόμβου καινοτομίας και επιχειρηματικότητας της Τεχνόπολης του Δήμου Αθηναίων, διοργανώνει εκδήλωση την Πέμπτη 30 Οκτωβρίου 2014 στο InnovAthens (</w:t>
      </w:r>
      <w:hyperlink r:id="rId5">
        <w:r>
          <w:rPr>
            <w:rStyle w:val="InternetLink"/>
            <w:rFonts w:eastAsia="Arial" w:cs="Arial" w:ascii="Arial" w:hAnsi="Arial"/>
            <w:color w:val="1155CC"/>
            <w:sz w:val="20"/>
            <w:u w:val="single"/>
          </w:rPr>
          <w:t>Χάρτης</w:t>
        </w:r>
      </w:hyperlink>
      <w:r>
        <w:rPr>
          <w:rFonts w:eastAsia="Arial" w:cs="Arial" w:ascii="Arial" w:hAnsi="Arial"/>
          <w:sz w:val="20"/>
        </w:rPr>
        <w:t>).</w:t>
      </w:r>
    </w:p>
    <w:p>
      <w:pPr>
        <w:pStyle w:val="Normal"/>
        <w:spacing w:lineRule="auto" w:line="240" w:before="0" w:after="0"/>
        <w:jc w:val="both"/>
        <w:rPr/>
      </w:pPr>
      <w:r>
        <w:rPr/>
      </w:r>
    </w:p>
    <w:p>
      <w:pPr>
        <w:pStyle w:val="Normal"/>
        <w:spacing w:lineRule="auto" w:line="240" w:before="0" w:after="0"/>
        <w:jc w:val="both"/>
        <w:rPr>
          <w:rFonts w:eastAsia="Arial" w:cs="Arial" w:ascii="Arial" w:hAnsi="Arial"/>
          <w:sz w:val="20"/>
        </w:rPr>
      </w:pPr>
      <w:r>
        <w:rPr>
          <w:rFonts w:eastAsia="Arial" w:cs="Arial" w:ascii="Arial" w:hAnsi="Arial"/>
          <w:sz w:val="20"/>
        </w:rPr>
        <w:t>Η εκδήλωση θα ξεκινήσει στις 10.00 και δομείται σε 3 ενότητες εργασίας.</w:t>
      </w:r>
    </w:p>
    <w:p>
      <w:pPr>
        <w:pStyle w:val="Normal"/>
        <w:spacing w:lineRule="auto" w:line="240" w:before="0" w:after="0"/>
        <w:jc w:val="both"/>
        <w:rPr/>
      </w:pPr>
      <w:r>
        <w:rPr/>
      </w:r>
    </w:p>
    <w:p>
      <w:pPr>
        <w:pStyle w:val="Normal"/>
        <w:spacing w:lineRule="auto" w:line="240" w:before="0" w:after="0"/>
        <w:jc w:val="both"/>
        <w:rPr>
          <w:rFonts w:eastAsia="Arial" w:cs="Arial" w:ascii="Arial" w:hAnsi="Arial"/>
          <w:sz w:val="20"/>
        </w:rPr>
      </w:pPr>
      <w:r>
        <w:rPr>
          <w:rFonts w:eastAsia="Arial" w:cs="Arial" w:ascii="Arial" w:hAnsi="Arial"/>
          <w:sz w:val="20"/>
        </w:rPr>
        <w:t xml:space="preserve">Η </w:t>
      </w:r>
      <w:r>
        <w:rPr>
          <w:rFonts w:eastAsia="Arial" w:cs="Arial" w:ascii="Arial" w:hAnsi="Arial"/>
          <w:b/>
          <w:sz w:val="20"/>
        </w:rPr>
        <w:t>πρώτη ενότητα</w:t>
      </w:r>
      <w:r>
        <w:rPr>
          <w:rFonts w:eastAsia="Arial" w:cs="Arial" w:ascii="Arial" w:hAnsi="Arial"/>
          <w:sz w:val="20"/>
        </w:rPr>
        <w:t xml:space="preserve"> αφορά σε παρουσίαση εφαρμογών που χρησιμοποιούν δορυφορικά δεδομένα για υπηρεσίες στους κατοίκους και τους φορείς της πόλης και αποτελεί μια προσπάθεια να ανοίξουμε τις δυνατότητες και τη γνώση που υπάρχει στις πόλεις μας, στους κατοίκους, στους επαγγελματίες που δραστηριοποιούνται σε αυτές, αλλά και στους επισκέπτες τους. Θα παρουσιαστούν επιλεγμένες, βραβευμένες εφαρμογές, που επιτρέπουν ήδη σήμερα την ενεργό εμπλοκή του πολίτη στις λειτουργίες της πόλης. </w:t>
      </w:r>
    </w:p>
    <w:p>
      <w:pPr>
        <w:pStyle w:val="Normal"/>
        <w:spacing w:lineRule="auto" w:line="240" w:before="0" w:after="0"/>
        <w:jc w:val="both"/>
        <w:rPr/>
      </w:pPr>
      <w:r>
        <w:rPr/>
      </w:r>
    </w:p>
    <w:p>
      <w:pPr>
        <w:pStyle w:val="Normal"/>
        <w:spacing w:lineRule="auto" w:line="240" w:before="0" w:after="0"/>
        <w:jc w:val="both"/>
        <w:rPr>
          <w:rFonts w:eastAsia="Arial" w:cs="Arial" w:ascii="Arial" w:hAnsi="Arial"/>
          <w:sz w:val="20"/>
        </w:rPr>
      </w:pPr>
      <w:r>
        <w:rPr>
          <w:rFonts w:eastAsia="Arial" w:cs="Arial" w:ascii="Arial" w:hAnsi="Arial"/>
          <w:sz w:val="20"/>
        </w:rPr>
        <w:t xml:space="preserve">H </w:t>
      </w:r>
      <w:r>
        <w:rPr>
          <w:rFonts w:eastAsia="Arial" w:cs="Arial" w:ascii="Arial" w:hAnsi="Arial"/>
          <w:b/>
          <w:sz w:val="20"/>
        </w:rPr>
        <w:t>δεύτερη ενότητα</w:t>
      </w:r>
      <w:r>
        <w:rPr>
          <w:rFonts w:eastAsia="Arial" w:cs="Arial" w:ascii="Arial" w:hAnsi="Arial"/>
          <w:sz w:val="20"/>
        </w:rPr>
        <w:t xml:space="preserve"> αφορά στις τεχνολογίες και πλατφόρμες συλλογής και επεξεργασίας των ανοιχτών δεδομένων της πόλης</w:t>
      </w:r>
      <w:r>
        <w:rPr>
          <w:rFonts w:eastAsia="Arial" w:cs="Arial" w:ascii="Arial" w:hAnsi="Arial"/>
          <w:b/>
          <w:sz w:val="20"/>
        </w:rPr>
        <w:t xml:space="preserve"> </w:t>
      </w:r>
      <w:r>
        <w:rPr>
          <w:rFonts w:eastAsia="Arial" w:cs="Arial" w:ascii="Arial" w:hAnsi="Arial"/>
          <w:sz w:val="20"/>
        </w:rPr>
        <w:t>και ιδιαίτερα των πλέον καινοτόμων διεθνών προσπαθειών.</w:t>
      </w:r>
    </w:p>
    <w:p>
      <w:pPr>
        <w:pStyle w:val="Normal"/>
        <w:spacing w:lineRule="auto" w:line="240"/>
        <w:jc w:val="both"/>
        <w:rPr>
          <w:rFonts w:eastAsia="Arial" w:cs="Arial" w:ascii="Arial" w:hAnsi="Arial"/>
          <w:sz w:val="20"/>
        </w:rPr>
      </w:pPr>
      <w:r>
        <w:rPr>
          <w:rFonts w:eastAsia="Arial" w:cs="Arial" w:ascii="Arial" w:hAnsi="Arial"/>
          <w:sz w:val="20"/>
        </w:rPr>
        <w:t>Θα παρουσιαστεί η πλατφόρμα SMART (</w:t>
      </w:r>
      <w:hyperlink r:id="rId6">
        <w:r>
          <w:rPr>
            <w:rStyle w:val="InternetLink"/>
            <w:rFonts w:eastAsia="Arial" w:cs="Arial" w:ascii="Arial" w:hAnsi="Arial"/>
            <w:color w:val="0000FF"/>
            <w:sz w:val="20"/>
            <w:u w:val="single"/>
          </w:rPr>
          <w:t>www.smartfp7.eu</w:t>
        </w:r>
      </w:hyperlink>
      <w:r>
        <w:rPr>
          <w:rFonts w:eastAsia="Arial" w:cs="Arial" w:ascii="Arial" w:hAnsi="Arial"/>
          <w:sz w:val="20"/>
        </w:rPr>
        <w:t>), μια πλατφόρμα αναζήτησης σε πολυμεσικά δεδομένα που παράγονται από την πόλη σε σημεία δημοσίου χαρακτήρα και ενδιαφέροντος, με σκοπό την αξιοποίηση τους σε εφαρμογές όπως οδηγοί πόλης. Αντίστοιχα το έργο eVACUATE (</w:t>
      </w:r>
      <w:hyperlink r:id="rId7">
        <w:r>
          <w:rPr>
            <w:rStyle w:val="InternetLink"/>
            <w:rFonts w:eastAsia="Arial" w:cs="Arial" w:ascii="Arial" w:hAnsi="Arial"/>
            <w:color w:val="0000FF"/>
            <w:sz w:val="20"/>
            <w:u w:val="single"/>
          </w:rPr>
          <w:t>www.evacuate.eu</w:t>
        </w:r>
      </w:hyperlink>
      <w:r>
        <w:rPr>
          <w:rFonts w:eastAsia="Arial" w:cs="Arial" w:ascii="Arial" w:hAnsi="Arial"/>
          <w:sz w:val="20"/>
        </w:rPr>
        <w:t xml:space="preserve">) έχει στόχο την παρατήρηση όλων των διαθέσιμων δεδομένων της πόλης με σκοπό τη διασφάλιση των πολιτών σε συνθήκες κρίσης με ιδιαίτερο ενδιαφέρον στην ασφαλή εγκατάλειψη σημείων συγκέντρωσης του κοινού (στάδια, πλατείες, σταθμοί ΜΜΜ).  Θα ακούσουμε τις προκλήσεις από το όραμα της «διασυνδεδεμένης κοινωνίας», μέσα από την εμπειρία της Ericsson. </w:t>
      </w:r>
    </w:p>
    <w:p>
      <w:pPr>
        <w:pStyle w:val="Normal"/>
        <w:spacing w:lineRule="auto" w:line="240"/>
        <w:jc w:val="both"/>
        <w:rPr>
          <w:rFonts w:eastAsia="Arial" w:cs="Arial" w:ascii="Arial" w:hAnsi="Arial"/>
          <w:sz w:val="20"/>
        </w:rPr>
      </w:pPr>
      <w:r>
        <w:rPr>
          <w:rFonts w:eastAsia="Arial" w:cs="Arial" w:ascii="Arial" w:hAnsi="Arial"/>
          <w:sz w:val="20"/>
        </w:rPr>
        <w:t xml:space="preserve">H </w:t>
      </w:r>
      <w:r>
        <w:rPr>
          <w:rFonts w:eastAsia="Arial" w:cs="Arial" w:ascii="Arial" w:hAnsi="Arial"/>
          <w:b/>
          <w:sz w:val="20"/>
        </w:rPr>
        <w:t>τρίτη ενότητα</w:t>
      </w:r>
      <w:r>
        <w:rPr>
          <w:rFonts w:eastAsia="Arial" w:cs="Arial" w:ascii="Arial" w:hAnsi="Arial"/>
          <w:sz w:val="20"/>
        </w:rPr>
        <w:t xml:space="preserve"> αφορά στις πόλεις που καλούνται να παρουσιάσουν το όραμά τους για την εξυπηρέτηση των αναγκών των πολιτών, άμεσα μέσω νέων καινοτόμων υπηρεσιών που προσφέρουν οι ίδιοι, καθώς και έμμεσα μέσω της προσφοράς μεγάλης ποικιλίας ανοιχτών δεδομένων. Θα δούμε και θα διερευνήσουμε μαζί με τα στελέχη των ίδιων των πόλεων, μελέτες περίπτωσης από τις πόλεις του Santander (ίσως η ευφυέστερη πόλη στην Ευρώπη), το Λονδίνο και η Κωνσταντινούπολη όπου ετερογενή συστήματα συνεργάζονται αρμονικά για την επίλυση των προβλημάτων του πολίτη τους. </w:t>
      </w:r>
    </w:p>
    <w:p>
      <w:pPr>
        <w:pStyle w:val="Normal"/>
        <w:spacing w:lineRule="auto" w:line="240" w:before="0" w:after="0"/>
        <w:jc w:val="both"/>
        <w:rPr>
          <w:rFonts w:eastAsia="Arial" w:cs="Arial" w:ascii="Arial" w:hAnsi="Arial"/>
          <w:sz w:val="20"/>
        </w:rPr>
      </w:pPr>
      <w:r>
        <w:rPr>
          <w:rFonts w:eastAsia="Arial" w:cs="Arial" w:ascii="Arial" w:hAnsi="Arial"/>
          <w:sz w:val="20"/>
        </w:rPr>
        <w:t xml:space="preserve">Στο τέλος της εκδήλωσης θα πραγματοποιηθεί workshop ανταλλαγής εμπειριών και διερεύνησης δυνατοτήτων κοινών δράσεων ανάμεσα στους συμμετέχοντες φορείς. </w:t>
      </w:r>
    </w:p>
    <w:p>
      <w:pPr>
        <w:pStyle w:val="Normal"/>
        <w:spacing w:lineRule="auto" w:line="240" w:before="0" w:after="0"/>
        <w:jc w:val="both"/>
        <w:rPr/>
      </w:pPr>
      <w:r>
        <w:rPr/>
      </w:r>
    </w:p>
    <w:p>
      <w:pPr>
        <w:pStyle w:val="Normal"/>
        <w:spacing w:lineRule="auto" w:line="240"/>
        <w:jc w:val="both"/>
        <w:rPr>
          <w:rFonts w:cs="Arial" w:ascii="Arial" w:hAnsi="Arial"/>
          <w:sz w:val="20"/>
        </w:rPr>
      </w:pPr>
      <w:r>
        <w:rPr>
          <w:rFonts w:cs="Arial" w:ascii="Arial" w:hAnsi="Arial"/>
          <w:sz w:val="20"/>
        </w:rPr>
        <w:t xml:space="preserve">Μπορείτε να δηλώσετε συμμετοχή </w:t>
      </w:r>
      <w:hyperlink r:id="rId8">
        <w:r>
          <w:rPr>
            <w:rStyle w:val="InternetLink"/>
            <w:rFonts w:cs="Arial" w:ascii="Arial" w:hAnsi="Arial"/>
            <w:color w:val="1155CC"/>
            <w:sz w:val="20"/>
          </w:rPr>
          <w:t>εδώ</w:t>
        </w:r>
      </w:hyperlink>
      <w:r>
        <w:rPr>
          <w:rFonts w:cs="Arial" w:ascii="Arial" w:hAnsi="Arial"/>
          <w:sz w:val="20"/>
        </w:rPr>
        <w:t>.</w:t>
      </w:r>
    </w:p>
    <w:p>
      <w:pPr>
        <w:pStyle w:val="Normal"/>
        <w:spacing w:lineRule="auto" w:line="240"/>
        <w:jc w:val="both"/>
        <w:rPr>
          <w:rFonts w:eastAsia="Arial" w:cs="Arial" w:ascii="Arial" w:hAnsi="Arial"/>
          <w:b/>
          <w:sz w:val="20"/>
        </w:rPr>
      </w:pPr>
      <w:r>
        <w:rPr>
          <w:rFonts w:eastAsia="Arial" w:cs="Arial" w:ascii="Arial" w:hAnsi="Arial"/>
          <w:b/>
          <w:sz w:val="20"/>
        </w:rPr>
      </w:r>
    </w:p>
    <w:p>
      <w:pPr>
        <w:pStyle w:val="Normal"/>
        <w:spacing w:lineRule="auto" w:line="240"/>
        <w:jc w:val="both"/>
        <w:rPr>
          <w:rFonts w:eastAsia="Arial" w:cs="Arial" w:ascii="Arial" w:hAnsi="Arial"/>
          <w:b/>
          <w:sz w:val="20"/>
        </w:rPr>
      </w:pPr>
      <w:bookmarkStart w:id="0" w:name="_GoBack"/>
      <w:bookmarkEnd w:id="0"/>
      <w:r>
        <w:rPr>
          <w:rFonts w:eastAsia="Arial" w:cs="Arial" w:ascii="Arial" w:hAnsi="Arial"/>
          <w:b/>
          <w:sz w:val="20"/>
        </w:rPr>
        <w:t>Λίγα λόγια για τον ΣΕΚΕΕ</w:t>
      </w:r>
    </w:p>
    <w:p>
      <w:pPr>
        <w:pStyle w:val="Normal"/>
        <w:spacing w:lineRule="auto" w:line="240"/>
        <w:jc w:val="both"/>
        <w:rPr>
          <w:rFonts w:eastAsia="Arial" w:cs="Arial" w:ascii="Arial" w:hAnsi="Arial"/>
          <w:sz w:val="20"/>
        </w:rPr>
      </w:pPr>
      <w:r>
        <w:rPr>
          <w:rFonts w:eastAsia="Arial" w:cs="Arial" w:ascii="Arial" w:hAnsi="Arial"/>
          <w:sz w:val="20"/>
        </w:rPr>
        <w:t>Ο Σύνδεσμος Εταιρειών Κινητών Εφαρμογών Ελλάδος (ΣΕΚΕΕ) εκπροσωπεί έναν δυναμικό εξωστρεφή κλάδο με περισσότερες από 80 επιχειρήσεις υψηλής τεχνολογίας οι οποίες δημιουργούν εφαρμογές και υπηρεσίες προστιθέμενης αξίας στις νέες κινητές συσκευές, είναι προσανατολισμένες στη διεθνή αγορά και έχουν παρουσία σε περισσότερες από 40 χώρες.</w:t>
      </w:r>
    </w:p>
    <w:p>
      <w:pPr>
        <w:pStyle w:val="Normal"/>
        <w:spacing w:lineRule="auto" w:line="240"/>
        <w:jc w:val="both"/>
        <w:rPr>
          <w:rFonts w:eastAsia="Arial" w:cs="Arial" w:ascii="Arial" w:hAnsi="Arial"/>
          <w:sz w:val="20"/>
        </w:rPr>
      </w:pPr>
      <w:r>
        <w:rPr>
          <w:rFonts w:eastAsia="Arial" w:cs="Arial" w:ascii="Arial" w:hAnsi="Arial"/>
          <w:sz w:val="20"/>
        </w:rPr>
        <w:t>Οι δραστηριότητές τους εκτείνονται από την ανάπτυξη εφαρμογών που απευθύνονται στους τελικούς χρήστες αλλά και τις υπηρεσίες στους τηλεπικοινωνιακούς παρόχους, μέχρι στην παροχή καινοτόμων υπηρεσιών επικοινωνίας, περιεχομένου και εφαρμογών, στο mobile marketing, κ.α.</w:t>
      </w:r>
    </w:p>
    <w:p>
      <w:pPr>
        <w:pStyle w:val="Normal"/>
        <w:spacing w:lineRule="auto" w:line="240"/>
        <w:jc w:val="both"/>
        <w:rPr>
          <w:rFonts w:eastAsia="Arial" w:cs="Arial" w:ascii="Arial" w:hAnsi="Arial"/>
          <w:b/>
          <w:sz w:val="20"/>
        </w:rPr>
      </w:pPr>
      <w:r>
        <w:rPr>
          <w:rFonts w:eastAsia="Arial" w:cs="Arial" w:ascii="Arial" w:hAnsi="Arial"/>
          <w:b/>
          <w:sz w:val="20"/>
        </w:rPr>
        <w:t>Λίγα λόγια για το ESNC2014</w:t>
      </w:r>
    </w:p>
    <w:p>
      <w:pPr>
        <w:pStyle w:val="Normal"/>
        <w:spacing w:lineRule="auto" w:line="240" w:before="0" w:after="0"/>
        <w:jc w:val="both"/>
        <w:rPr>
          <w:rFonts w:eastAsia="Arial" w:cs="Arial" w:ascii="Arial" w:hAnsi="Arial"/>
          <w:sz w:val="20"/>
        </w:rPr>
      </w:pPr>
      <w:r>
        <w:rPr>
          <w:rFonts w:eastAsia="Arial" w:cs="Arial" w:ascii="Arial" w:hAnsi="Arial"/>
          <w:sz w:val="20"/>
        </w:rPr>
        <w:t>Ο διαγωνισμός διοργανώνεται από τον Σύνδεσμο Εταιρειών Κινητών Εφαρμογών Ελλάδας (ΣΕΚΕΕ), σε συνεργασία με την Ένωση Ελληνικών Βιομηχανιών Διαστημικής Τεχνολογίας &amp; Εφαρμογών (ΕΒΙΔΙΤΕ), το Εθνικό Δίκτυο Έρευνας και Τεχνολογίας (ΕΔΕΤ), το οποίο και συντονίζει την πρωτοβουλία στο πλαίσιο του έργου LDA, το Εθνικό Αστεροσκοπείο Αθηνών (ΕΑΑ), το Εθνικό Κτηματολόγιο και Χαρτογράφηση Α.Ε. (ΕΚΧΑ) και την “Τεχνόπολις” του Δήμου Αθηναίων (ΤΕΧΝΟΠΟΛΙΣ), με σκοπό την βράβευση των  καλύτερων προϊόντων, υπηρεσιών και επιχειρηματικών καινοτομιών που βασίζονται στην χρήση των δορυφορικών τεχνολογιών πλοήγησης στην καθημερινή ζωή.</w:t>
      </w:r>
    </w:p>
    <w:p>
      <w:pPr>
        <w:pStyle w:val="Normal"/>
        <w:spacing w:lineRule="auto" w:line="240" w:before="0" w:after="0"/>
        <w:jc w:val="both"/>
        <w:rPr/>
      </w:pPr>
      <w:r>
        <w:rPr/>
      </w:r>
    </w:p>
    <w:p>
      <w:pPr>
        <w:pStyle w:val="Normal"/>
        <w:spacing w:lineRule="auto" w:line="240"/>
        <w:jc w:val="both"/>
        <w:rPr>
          <w:rFonts w:eastAsia="Arial" w:cs="Arial" w:ascii="Arial" w:hAnsi="Arial"/>
          <w:b/>
          <w:sz w:val="20"/>
        </w:rPr>
      </w:pPr>
      <w:r>
        <w:rPr>
          <w:rFonts w:eastAsia="Arial" w:cs="Arial" w:ascii="Arial" w:hAnsi="Arial"/>
          <w:b/>
          <w:sz w:val="20"/>
        </w:rPr>
        <w:t>Λίγα λόγια για την ΕΜΠηΕΕ</w:t>
      </w:r>
    </w:p>
    <w:p>
      <w:pPr>
        <w:pStyle w:val="Normal"/>
        <w:spacing w:lineRule="auto" w:line="240"/>
        <w:jc w:val="both"/>
        <w:rPr>
          <w:rFonts w:eastAsia="Arial" w:cs="Arial" w:ascii="Arial" w:hAnsi="Arial"/>
          <w:sz w:val="20"/>
        </w:rPr>
      </w:pPr>
      <w:r>
        <w:rPr>
          <w:rFonts w:eastAsia="Arial" w:cs="Arial" w:ascii="Arial" w:hAnsi="Arial"/>
          <w:sz w:val="20"/>
        </w:rPr>
        <w:t>Η Ένωση Μηχανικών Πληροφορικής και Επικοινωνιών Ελλάδας (ΕΜηΠΕΕ) είναι η επίσημη εκπρόσωπος των μηχανικών επιστημόνων και επαγγελματιών του κλάδου των Τεχνολογιών Πληροφορίας και Επικοινωνιών στην Ελλάδα. Βασικός σκοπός της Ένωσης Μηχανικών Πληροφορικής και Επικοινωνιών Ελλάδας, είναι η έγκυρη εκπροσώπηση των Μηχανικών Πληροφορικής σε επιστημονικό, επαγγελματικό και πολιτικό επίπεδο με στόχο την προώθηση των συμφερόντων των Μηχανικών Πληροφορικής και την προαγωγή των Τεχνολογιών Πληροφορικής και Επικοινωνιών (ΤΠΕ) στην Ελλάδα.</w:t>
      </w:r>
    </w:p>
    <w:p>
      <w:pPr>
        <w:pStyle w:val="Normal"/>
        <w:jc w:val="both"/>
        <w:rPr>
          <w:rFonts w:eastAsia="Arial" w:cs="Arial" w:ascii="Arial" w:hAnsi="Arial"/>
          <w:b/>
          <w:sz w:val="20"/>
        </w:rPr>
      </w:pPr>
      <w:r>
        <w:rPr>
          <w:rFonts w:eastAsia="Arial" w:cs="Arial" w:ascii="Arial" w:hAnsi="Arial"/>
          <w:b/>
          <w:sz w:val="20"/>
        </w:rPr>
        <w:br/>
      </w:r>
    </w:p>
    <w:p>
      <w:pPr>
        <w:pStyle w:val="Normal"/>
        <w:rPr>
          <w:rFonts w:eastAsia="Arial" w:cs="Arial" w:ascii="Arial" w:hAnsi="Arial"/>
          <w:b/>
          <w:sz w:val="20"/>
        </w:rPr>
      </w:pPr>
      <w:r>
        <w:rPr>
          <w:rFonts w:eastAsia="Arial" w:cs="Arial" w:ascii="Arial" w:hAnsi="Arial"/>
          <w:b/>
          <w:sz w:val="20"/>
        </w:rPr>
      </w:r>
    </w:p>
    <w:p>
      <w:pPr>
        <w:pStyle w:val="Normal"/>
        <w:pageBreakBefore/>
        <w:spacing w:lineRule="auto" w:line="240"/>
        <w:jc w:val="both"/>
        <w:rPr>
          <w:rFonts w:eastAsia="Arial" w:cs="Arial" w:ascii="Arial" w:hAnsi="Arial"/>
          <w:b/>
          <w:sz w:val="20"/>
        </w:rPr>
      </w:pPr>
      <w:r>
        <w:rPr>
          <w:rFonts w:eastAsia="Arial" w:cs="Arial" w:ascii="Arial" w:hAnsi="Arial"/>
          <w:b/>
          <w:sz w:val="20"/>
        </w:rPr>
        <w:t>Λίγα λόγια για την ΕΕΛ/ΛΑΚ</w:t>
      </w:r>
    </w:p>
    <w:p>
      <w:pPr>
        <w:pStyle w:val="Normal"/>
        <w:spacing w:lineRule="auto" w:line="240"/>
        <w:jc w:val="both"/>
        <w:rPr>
          <w:rFonts w:eastAsia="Arial" w:cs="Arial" w:ascii="Arial" w:hAnsi="Arial"/>
          <w:sz w:val="20"/>
        </w:rPr>
      </w:pPr>
      <w:r>
        <w:rPr>
          <w:rFonts w:eastAsia="Arial" w:cs="Arial" w:ascii="Arial" w:hAnsi="Arial"/>
          <w:b/>
          <w:sz w:val="20"/>
        </w:rPr>
        <w:t>H μη κερδοσκοπική Εταιρεία Ελεύθερου Λογισμικού/Λογισμικού Ανοικτού Κώδικα (</w:t>
      </w:r>
      <w:r>
        <w:rPr>
          <w:rFonts w:eastAsia="Arial" w:cs="Arial" w:ascii="Arial" w:hAnsi="Arial"/>
          <w:sz w:val="20"/>
        </w:rPr>
        <w:t>http://eellak.gr/</w:t>
      </w:r>
      <w:r>
        <w:rPr>
          <w:rFonts w:eastAsia="Arial" w:cs="Arial" w:ascii="Arial" w:hAnsi="Arial"/>
          <w:b/>
          <w:sz w:val="20"/>
        </w:rPr>
        <w:t>, ΕΕΛ/ΛΑΚ)</w:t>
      </w:r>
      <w:r>
        <w:rPr>
          <w:rFonts w:eastAsia="Arial" w:cs="Arial" w:ascii="Arial" w:hAnsi="Arial"/>
          <w:sz w:val="20"/>
        </w:rPr>
        <w:t xml:space="preserve"> ιδρύθηκε το 2008 από 25 Πανεπιστήμια, Ερευνητικά Κέντρα και Τεχνολογικά Ιδρύματα. Η ΕΕΛ/ΛΑΚ έχει ως κύριο στόχο να συμβάλλει στην προώθηση και ανάπτυξη του </w:t>
      </w:r>
      <w:r>
        <w:rPr>
          <w:rFonts w:eastAsia="Arial" w:cs="Arial" w:ascii="Arial" w:hAnsi="Arial"/>
          <w:b/>
          <w:sz w:val="20"/>
        </w:rPr>
        <w:t>Ελεύθερου Λογισμικού</w:t>
      </w:r>
      <w:r>
        <w:rPr>
          <w:rFonts w:eastAsia="Arial" w:cs="Arial" w:ascii="Arial" w:hAnsi="Arial"/>
          <w:sz w:val="20"/>
        </w:rPr>
        <w:t xml:space="preserve">, του </w:t>
      </w:r>
      <w:r>
        <w:rPr>
          <w:rFonts w:eastAsia="Arial" w:cs="Arial" w:ascii="Arial" w:hAnsi="Arial"/>
          <w:b/>
          <w:sz w:val="20"/>
        </w:rPr>
        <w:t>Ανοιχτού Περιεχομένου</w:t>
      </w:r>
      <w:r>
        <w:rPr>
          <w:rFonts w:eastAsia="Arial" w:cs="Arial" w:ascii="Arial" w:hAnsi="Arial"/>
          <w:sz w:val="20"/>
        </w:rPr>
        <w:t xml:space="preserve"> και των </w:t>
      </w:r>
      <w:r>
        <w:rPr>
          <w:rFonts w:eastAsia="Arial" w:cs="Arial" w:ascii="Arial" w:hAnsi="Arial"/>
          <w:b/>
          <w:sz w:val="20"/>
        </w:rPr>
        <w:t>Τεχνολογιών Ανοιχτής Αρχιτεκτονικής</w:t>
      </w:r>
      <w:r>
        <w:rPr>
          <w:rFonts w:eastAsia="Arial" w:cs="Arial" w:ascii="Arial" w:hAnsi="Arial"/>
          <w:sz w:val="20"/>
        </w:rPr>
        <w:t xml:space="preserve"> στο χώρο της εκπαίδευσης, του δημόσιου τομέα και των επιχειρήσεων στην Ελλάδα, ενώ παράλληλα </w:t>
      </w:r>
      <w:r>
        <w:rPr>
          <w:rFonts w:eastAsia="Arial" w:cs="Arial" w:ascii="Arial" w:hAnsi="Arial"/>
          <w:b/>
          <w:sz w:val="20"/>
        </w:rPr>
        <w:t xml:space="preserve">φιλοδοξεί να αποτελέσει κέντρο γνώσης και πλατφόρμα διαλόγου για τις ανοιχτές τεχνολογίες. </w:t>
      </w:r>
      <w:r>
        <w:rPr>
          <w:rFonts w:eastAsia="Arial" w:cs="Arial" w:ascii="Arial" w:hAnsi="Arial"/>
          <w:sz w:val="20"/>
        </w:rPr>
        <w:t>Συνεργάζεται επίσης με τα Creative Commonsκαι είναι ιδρυτικό μέλος του COMMUNIA.</w:t>
      </w:r>
    </w:p>
    <w:p>
      <w:pPr>
        <w:pStyle w:val="Normal"/>
        <w:spacing w:lineRule="auto" w:line="240"/>
        <w:jc w:val="both"/>
        <w:rPr>
          <w:rFonts w:eastAsia="Arial" w:cs="Arial" w:ascii="Arial" w:hAnsi="Arial"/>
          <w:b/>
          <w:sz w:val="20"/>
        </w:rPr>
      </w:pPr>
      <w:r>
        <w:rPr>
          <w:rFonts w:eastAsia="Arial" w:cs="Arial" w:ascii="Arial" w:hAnsi="Arial"/>
          <w:b/>
          <w:sz w:val="20"/>
        </w:rPr>
        <w:t>Λίγα λόγια για την πρωτοβουλία “Έξυπνη Πόλη”</w:t>
      </w:r>
    </w:p>
    <w:p>
      <w:pPr>
        <w:pStyle w:val="Normal"/>
        <w:spacing w:lineRule="auto" w:line="240"/>
        <w:jc w:val="both"/>
        <w:rPr>
          <w:rFonts w:eastAsia="Arial" w:cs="Arial" w:ascii="Arial" w:hAnsi="Arial"/>
          <w:sz w:val="20"/>
        </w:rPr>
      </w:pPr>
      <w:r>
        <w:rPr>
          <w:rFonts w:eastAsia="Arial" w:cs="Arial" w:ascii="Arial" w:hAnsi="Arial"/>
          <w:sz w:val="20"/>
        </w:rPr>
        <w:t xml:space="preserve">Η συνεργασία για την έξυπνη πόλη ανάμεσα στην </w:t>
      </w:r>
      <w:hyperlink r:id="rId9">
        <w:r>
          <w:rPr>
            <w:rStyle w:val="InternetLink"/>
            <w:rFonts w:eastAsia="Arial" w:cs="Arial" w:ascii="Arial" w:hAnsi="Arial"/>
            <w:color w:val="1155CC"/>
            <w:sz w:val="20"/>
            <w:u w:val="single"/>
          </w:rPr>
          <w:t>ερευνητική ομάδα για την Τεχνολογική, Οικονομική και Στρατηγική Ανάλυση της Κοινωνίας της Πληροφορίας (INFOSTRAG)</w:t>
        </w:r>
      </w:hyperlink>
      <w:hyperlink r:id="rId10">
        <w:r>
          <w:rPr>
            <w:rStyle w:val="InternetLink"/>
            <w:rFonts w:eastAsia="Arial" w:cs="Arial" w:ascii="Arial" w:hAnsi="Arial"/>
            <w:b/>
            <w:sz w:val="20"/>
          </w:rPr>
          <w:t xml:space="preserve"> </w:t>
        </w:r>
      </w:hyperlink>
      <w:hyperlink r:id="rId11">
        <w:r>
          <w:rPr>
            <w:rStyle w:val="InternetLink"/>
            <w:rFonts w:eastAsia="Arial" w:cs="Arial" w:ascii="Arial" w:hAnsi="Arial"/>
            <w:color w:val="1155CC"/>
            <w:sz w:val="20"/>
            <w:u w:val="single"/>
          </w:rPr>
          <w:t>του Εθνικού Μετσόβιου Πολυτεχνείου (ΕΒΕΟ/ΕΜΠ)</w:t>
        </w:r>
      </w:hyperlink>
      <w:r>
        <w:rPr>
          <w:rFonts w:eastAsia="Arial" w:cs="Arial" w:ascii="Arial" w:hAnsi="Arial"/>
          <w:sz w:val="20"/>
        </w:rPr>
        <w:t xml:space="preserve">, τον </w:t>
      </w:r>
      <w:hyperlink r:id="rId12">
        <w:r>
          <w:rPr>
            <w:rStyle w:val="InternetLink"/>
            <w:rFonts w:eastAsia="Arial" w:cs="Arial" w:ascii="Arial" w:hAnsi="Arial"/>
            <w:color w:val="1155CC"/>
            <w:sz w:val="20"/>
            <w:u w:val="single"/>
          </w:rPr>
          <w:t>Σύνδεσμο Εταιρειών Κινητών Εφαρμογών Ελλάδος (ΣΕΚΕΕ)</w:t>
        </w:r>
      </w:hyperlink>
      <w:r>
        <w:rPr>
          <w:rFonts w:eastAsia="Arial" w:cs="Arial" w:ascii="Arial" w:hAnsi="Arial"/>
          <w:b/>
          <w:sz w:val="20"/>
        </w:rPr>
        <w:t xml:space="preserve"> και την </w:t>
      </w:r>
      <w:r>
        <w:rPr>
          <w:rFonts w:eastAsia="Arial" w:cs="Arial" w:ascii="Arial" w:hAnsi="Arial"/>
          <w:sz w:val="20"/>
          <w:highlight w:val="white"/>
        </w:rPr>
        <w:t>μη-κερδοσκοπική</w:t>
      </w:r>
      <w:hyperlink r:id="rId13">
        <w:r>
          <w:rPr>
            <w:rStyle w:val="InternetLink"/>
            <w:rFonts w:eastAsia="Arial" w:cs="Arial" w:ascii="Arial" w:hAnsi="Arial"/>
            <w:b/>
            <w:sz w:val="20"/>
            <w:u w:val="single"/>
          </w:rPr>
          <w:t xml:space="preserve"> </w:t>
        </w:r>
      </w:hyperlink>
      <w:hyperlink r:id="rId14">
        <w:r>
          <w:rPr>
            <w:rStyle w:val="InternetLink"/>
            <w:rFonts w:eastAsia="Arial" w:cs="Arial" w:ascii="Arial" w:hAnsi="Arial"/>
            <w:b/>
            <w:color w:val="1155CC"/>
            <w:sz w:val="20"/>
            <w:u w:val="single"/>
          </w:rPr>
          <w:t>Εταιρεία Ελεύθερου Λογισμικού/ Λογισμικού Ανοικτού Κώδικα (ΕΕΛ/ΛΑΚ)</w:t>
        </w:r>
      </w:hyperlink>
      <w:r>
        <w:rPr>
          <w:rFonts w:eastAsia="Arial" w:cs="Arial" w:ascii="Arial" w:hAnsi="Arial"/>
          <w:sz w:val="20"/>
        </w:rPr>
        <w:t xml:space="preserve">, μαζί με τους τρεις μεγάλους Δήμους </w:t>
      </w:r>
      <w:r>
        <w:rPr>
          <w:rFonts w:eastAsia="Arial" w:cs="Arial" w:ascii="Arial" w:hAnsi="Arial"/>
          <w:b/>
          <w:sz w:val="20"/>
        </w:rPr>
        <w:t>της</w:t>
      </w:r>
      <w:hyperlink r:id="rId15">
        <w:r>
          <w:rPr>
            <w:rStyle w:val="InternetLink"/>
            <w:rFonts w:eastAsia="Arial" w:cs="Arial" w:ascii="Arial" w:hAnsi="Arial"/>
            <w:b/>
            <w:sz w:val="20"/>
          </w:rPr>
          <w:t xml:space="preserve"> </w:t>
        </w:r>
      </w:hyperlink>
      <w:hyperlink r:id="rId16">
        <w:r>
          <w:rPr>
            <w:rStyle w:val="InternetLink"/>
            <w:rFonts w:eastAsia="Arial" w:cs="Arial" w:ascii="Arial" w:hAnsi="Arial"/>
            <w:b/>
            <w:color w:val="1155CC"/>
            <w:sz w:val="20"/>
            <w:u w:val="single"/>
          </w:rPr>
          <w:t>Αθήνας</w:t>
        </w:r>
      </w:hyperlink>
      <w:r>
        <w:rPr>
          <w:rFonts w:eastAsia="Arial" w:cs="Arial" w:ascii="Arial" w:hAnsi="Arial"/>
          <w:b/>
          <w:sz w:val="20"/>
        </w:rPr>
        <w:t>, της</w:t>
      </w:r>
      <w:hyperlink r:id="rId17">
        <w:r>
          <w:rPr>
            <w:rStyle w:val="InternetLink"/>
            <w:rFonts w:eastAsia="Arial" w:cs="Arial" w:ascii="Arial" w:hAnsi="Arial"/>
            <w:b/>
            <w:sz w:val="20"/>
          </w:rPr>
          <w:t xml:space="preserve"> </w:t>
        </w:r>
      </w:hyperlink>
      <w:hyperlink r:id="rId18">
        <w:r>
          <w:rPr>
            <w:rStyle w:val="InternetLink"/>
            <w:rFonts w:eastAsia="Arial" w:cs="Arial" w:ascii="Arial" w:hAnsi="Arial"/>
            <w:b/>
            <w:color w:val="1155CC"/>
            <w:sz w:val="20"/>
            <w:u w:val="single"/>
          </w:rPr>
          <w:t>Θεσσαλονίκης</w:t>
        </w:r>
      </w:hyperlink>
      <w:r>
        <w:rPr>
          <w:rFonts w:eastAsia="Arial" w:cs="Arial" w:ascii="Arial" w:hAnsi="Arial"/>
          <w:b/>
          <w:sz w:val="20"/>
        </w:rPr>
        <w:t xml:space="preserve"> και του</w:t>
      </w:r>
      <w:hyperlink r:id="rId19">
        <w:r>
          <w:rPr>
            <w:rStyle w:val="InternetLink"/>
            <w:rFonts w:eastAsia="Arial" w:cs="Arial" w:ascii="Arial" w:hAnsi="Arial"/>
            <w:b/>
            <w:sz w:val="20"/>
          </w:rPr>
          <w:t xml:space="preserve"> </w:t>
        </w:r>
      </w:hyperlink>
      <w:hyperlink r:id="rId20">
        <w:r>
          <w:rPr>
            <w:rStyle w:val="InternetLink"/>
            <w:rFonts w:eastAsia="Arial" w:cs="Arial" w:ascii="Arial" w:hAnsi="Arial"/>
            <w:b/>
            <w:color w:val="1155CC"/>
            <w:sz w:val="20"/>
            <w:u w:val="single"/>
          </w:rPr>
          <w:t>Ηρακλείου</w:t>
        </w:r>
      </w:hyperlink>
      <w:r>
        <w:rPr>
          <w:rFonts w:eastAsia="Arial" w:cs="Arial" w:ascii="Arial" w:hAnsi="Arial"/>
          <w:b/>
          <w:sz w:val="20"/>
        </w:rPr>
        <w:t>,</w:t>
      </w:r>
      <w:r>
        <w:rPr>
          <w:rFonts w:eastAsia="Arial" w:cs="Arial" w:ascii="Arial" w:hAnsi="Arial"/>
          <w:sz w:val="20"/>
        </w:rPr>
        <w:t xml:space="preserve">  μια προσπάθεια να ανοίξουμε τις δυνατότητες και τη γνώση που υπάρχει στις πόλεις μας, στους κατοίκους, στους επαγγελματίες που δραστηριοποιούνται σε αυτές, αλλά και στους επισκέπτες τους.</w:t>
      </w:r>
    </w:p>
    <w:p>
      <w:pPr>
        <w:pStyle w:val="Normal"/>
        <w:spacing w:lineRule="auto" w:line="240" w:before="0" w:after="0"/>
        <w:jc w:val="both"/>
        <w:rPr>
          <w:rFonts w:eastAsia="Arial" w:cs="Arial" w:ascii="Arial" w:hAnsi="Arial"/>
          <w:b/>
          <w:sz w:val="20"/>
          <w:u w:val="single"/>
        </w:rPr>
      </w:pPr>
      <w:r>
        <w:rPr>
          <w:rFonts w:eastAsia="Arial" w:cs="Arial" w:ascii="Arial" w:hAnsi="Arial"/>
          <w:b/>
          <w:sz w:val="20"/>
          <w:u w:val="single"/>
        </w:rPr>
        <w:t>Σχετικά με τον Κόμβο Καινοτομίας και Επιχειρηματικότητας της Τεχνόπολης του Δήμου Αθηναίων</w:t>
      </w:r>
    </w:p>
    <w:p>
      <w:pPr>
        <w:pStyle w:val="Normal"/>
        <w:spacing w:lineRule="auto" w:line="240" w:before="0" w:after="0"/>
        <w:jc w:val="both"/>
        <w:rPr>
          <w:rFonts w:eastAsia="Arial" w:cs="Arial" w:ascii="Arial" w:hAnsi="Arial"/>
          <w:sz w:val="20"/>
        </w:rPr>
      </w:pPr>
      <w:r>
        <w:rPr>
          <w:rFonts w:eastAsia="Arial" w:cs="Arial" w:ascii="Arial" w:hAnsi="Arial"/>
          <w:sz w:val="20"/>
        </w:rPr>
        <w:t>Ο Κόμβος καινοτομίας και επιχειρηματικότητας – INNOVATHENS – είναι μία υποδομή στήριξης της καινοτομίας και της επιχειρηματικότητας σε έναν νεανικό χώρο έμπνευσης, στο πιο αναγνωρίσιμο τοπόσημο της Αθήνας με περισσότερες από 600.000 επισκέπτες το χρόνο, την Τεχνόπολη του Δήμου Αθηναίων.</w:t>
      </w:r>
    </w:p>
    <w:p>
      <w:pPr>
        <w:pStyle w:val="Normal"/>
        <w:spacing w:lineRule="auto" w:line="240"/>
        <w:rPr/>
      </w:pPr>
      <w:r>
        <w:rPr/>
      </w:r>
    </w:p>
    <w:sectPr>
      <w:headerReference w:type="default" r:id="rId21"/>
      <w:footerReference w:type="default" r:id="rId22"/>
      <w:type w:val="nextPage"/>
      <w:pgSz w:w="11906" w:h="16838"/>
      <w:pgMar w:left="851" w:right="851" w:header="720" w:top="1701" w:footer="720" w:bottom="1701"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Georgia">
    <w:charset w:val="01"/>
    <w:family w:val="roman"/>
    <w:pitch w:val="variable"/>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tabs>
        <w:tab w:val="center" w:pos="4680" w:leader="none"/>
        <w:tab w:val="right" w:pos="9360" w:leader="none"/>
      </w:tabs>
      <w:spacing w:before="0" w:after="0"/>
      <w:jc w:val="both"/>
      <w:rPr/>
    </w:pPr>
    <w:r>
      <w:rPr/>
      <w:drawing>
        <wp:inline distT="114300" distB="114300" distL="114300" distR="114300">
          <wp:extent cx="1033145" cy="103314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1"/>
                  <a:stretch>
                    <a:fillRect/>
                  </a:stretch>
                </pic:blipFill>
                <pic:spPr bwMode="auto">
                  <a:xfrm>
                    <a:off x="0" y="0"/>
                    <a:ext cx="1033145" cy="1033145"/>
                  </a:xfrm>
                  <a:prstGeom prst="rect">
                    <a:avLst/>
                  </a:prstGeom>
                  <a:noFill/>
                  <a:ln w="9525">
                    <a:noFill/>
                    <a:miter lim="800000"/>
                    <a:headEnd/>
                    <a:tailEnd/>
                  </a:ln>
                </pic:spPr>
              </pic:pic>
            </a:graphicData>
          </a:graphic>
        </wp:inline>
      </w:drawing>
    </w:r>
    <w:r>
      <w:rPr>
        <w:sz w:val="18"/>
      </w:rPr>
      <w:t xml:space="preserve">  </w:t>
    </w:r>
    <w:r>
      <w:rPr>
        <w:sz w:val="18"/>
      </w:rPr>
      <w:drawing>
        <wp:inline distT="0" distB="0" distL="0" distR="0">
          <wp:extent cx="1557655" cy="571500"/>
          <wp:effectExtent l="0" t="0" r="0" b="0"/>
          <wp:docPr id="5" name="Picture" descr="Logo v3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Logo v3 border"/>
                  <pic:cNvPicPr>
                    <a:picLocks noChangeAspect="1" noChangeArrowheads="1"/>
                  </pic:cNvPicPr>
                </pic:nvPicPr>
                <pic:blipFill>
                  <a:blip r:embed="rId2"/>
                  <a:srcRect l="0" t="0" r="0" b="-32781"/>
                  <a:stretch>
                    <a:fillRect/>
                  </a:stretch>
                </pic:blipFill>
                <pic:spPr bwMode="auto">
                  <a:xfrm>
                    <a:off x="0" y="0"/>
                    <a:ext cx="1557655" cy="571500"/>
                  </a:xfrm>
                  <a:prstGeom prst="rect">
                    <a:avLst/>
                  </a:prstGeom>
                  <a:noFill/>
                  <a:ln w="9525">
                    <a:noFill/>
                    <a:miter lim="800000"/>
                    <a:headEnd/>
                    <a:tailEnd/>
                  </a:ln>
                </pic:spPr>
              </pic:pic>
            </a:graphicData>
          </a:graphic>
        </wp:inline>
      </w:drawing>
    </w:r>
    <w:r>
      <w:rPr/>
      <w:t xml:space="preserve"> </w:t>
    </w:r>
    <w:r>
      <w:rPr/>
      <w:drawing>
        <wp:inline distT="0" distB="0" distL="0" distR="0">
          <wp:extent cx="1584960" cy="548640"/>
          <wp:effectExtent l="0" t="0" r="0" b="0"/>
          <wp:docPr id="6" name="Picture"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Home"/>
                  <pic:cNvPicPr>
                    <a:picLocks noChangeAspect="1" noChangeArrowheads="1"/>
                  </pic:cNvPicPr>
                </pic:nvPicPr>
                <pic:blipFill>
                  <a:blip r:embed="rId3"/>
                  <a:srcRect l="0" t="8993" r="17778" b="25159"/>
                  <a:stretch>
                    <a:fillRect/>
                  </a:stretch>
                </pic:blipFill>
                <pic:spPr bwMode="auto">
                  <a:xfrm>
                    <a:off x="0" y="0"/>
                    <a:ext cx="1584960" cy="548640"/>
                  </a:xfrm>
                  <a:prstGeom prst="rect">
                    <a:avLst/>
                  </a:prstGeom>
                  <a:noFill/>
                  <a:ln w="9525">
                    <a:noFill/>
                    <a:miter lim="800000"/>
                    <a:headEnd/>
                    <a:tailEnd/>
                  </a:ln>
                </pic:spPr>
              </pic:pic>
            </a:graphicData>
          </a:graphic>
        </wp:inline>
      </w:drawing>
    </w:r>
  </w:p>
  <w:p>
    <w:pPr>
      <w:pStyle w:val="Normal"/>
      <w:tabs>
        <w:tab w:val="center" w:pos="4680" w:leader="none"/>
        <w:tab w:val="right" w:pos="9360" w:leader="none"/>
      </w:tabs>
      <w:spacing w:lineRule="auto" w:line="240" w:before="0" w:after="0"/>
      <w:rPr/>
    </w:pPr>
    <w:r>
      <w:rPr/>
      <w:drawing>
        <wp:inline distT="0" distB="0" distL="0" distR="0">
          <wp:extent cx="6438900" cy="475615"/>
          <wp:effectExtent l="0" t="0" r="0" b="0"/>
          <wp:docPr id="7" name="Picture" descr="FOOTER_DELTIO TYP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FOOTER_DELTIO TYPOY_2"/>
                  <pic:cNvPicPr>
                    <a:picLocks noChangeAspect="1" noChangeArrowheads="1"/>
                  </pic:cNvPicPr>
                </pic:nvPicPr>
                <pic:blipFill>
                  <a:blip r:embed="rId4"/>
                  <a:stretch>
                    <a:fillRect/>
                  </a:stretch>
                </pic:blipFill>
                <pic:spPr bwMode="auto">
                  <a:xfrm>
                    <a:off x="0" y="0"/>
                    <a:ext cx="6438900" cy="475615"/>
                  </a:xfrm>
                  <a:prstGeom prst="rect">
                    <a:avLst/>
                  </a:prstGeom>
                  <a:noFill/>
                  <a:ln w="9525">
                    <a:noFill/>
                    <a:miter lim="800000"/>
                    <a:headEnd/>
                    <a:tailEnd/>
                  </a:ln>
                </pic:spPr>
              </pic:pic>
            </a:graphicData>
          </a:graphic>
        </wp:inline>
      </w:drawing>
    </w:r>
  </w:p>
  <w:p>
    <w:pPr>
      <w:pStyle w:val="Normal"/>
      <w:tabs>
        <w:tab w:val="center" w:pos="4680" w:leader="none"/>
        <w:tab w:val="right" w:pos="9360" w:leader="none"/>
      </w:tabs>
      <w:spacing w:lineRule="auto" w:line="240" w:before="0" w:after="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widowControl w:val="false"/>
      <w:spacing w:before="0" w:after="0"/>
      <w:rPr/>
    </w:pPr>
    <w:r>
      <w:rPr/>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6027"/>
      <w:gridCol w:w="4393"/>
    </w:tblGrid>
    <w:tr>
      <w:trPr>
        <w:trHeight w:val="2937" w:hRule="atLeast"/>
        <w:cantSplit w:val="false"/>
      </w:trPr>
      <w:tc>
        <w:tcPr>
          <w:tcW w:w="6027" w:type="dxa"/>
          <w:tcBorders>
            <w:top w:val="nil"/>
            <w:left w:val="nil"/>
            <w:bottom w:val="nil"/>
            <w:insideH w:val="nil"/>
            <w:right w:val="nil"/>
            <w:insideV w:val="nil"/>
          </w:tcBorders>
          <w:shd w:fill="auto" w:val="clear"/>
        </w:tcPr>
        <w:p>
          <w:pPr>
            <w:pStyle w:val="Normal"/>
            <w:widowControl w:val="false"/>
            <w:spacing w:before="0" w:after="0"/>
            <w:rPr/>
          </w:pPr>
          <w:r>
            <w:rPr/>
            <w:drawing>
              <wp:anchor behindDoc="1" distT="57150" distB="57150" distL="57150" distR="57150" simplePos="0" locked="0" layoutInCell="1" allowOverlap="1" relativeHeight="2">
                <wp:simplePos x="0" y="0"/>
                <wp:positionH relativeFrom="margin">
                  <wp:posOffset>342900</wp:posOffset>
                </wp:positionH>
                <wp:positionV relativeFrom="paragraph">
                  <wp:posOffset>904875</wp:posOffset>
                </wp:positionV>
                <wp:extent cx="622300" cy="871220"/>
                <wp:effectExtent l="0" t="0" r="0" b="0"/>
                <wp:wrapSquare wrapText="bothSides"/>
                <wp:docPr id="0" name="Picture" descr="eella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ellak-logo.jpg"/>
                        <pic:cNvPicPr>
                          <a:picLocks noChangeAspect="1" noChangeArrowheads="1"/>
                        </pic:cNvPicPr>
                      </pic:nvPicPr>
                      <pic:blipFill>
                        <a:blip r:embed="rId1"/>
                        <a:stretch>
                          <a:fillRect/>
                        </a:stretch>
                      </pic:blipFill>
                      <pic:spPr bwMode="auto">
                        <a:xfrm>
                          <a:off x="0" y="0"/>
                          <a:ext cx="622300" cy="871220"/>
                        </a:xfrm>
                        <a:prstGeom prst="rect">
                          <a:avLst/>
                        </a:prstGeom>
                        <a:noFill/>
                        <a:ln w="9525">
                          <a:noFill/>
                          <a:miter lim="800000"/>
                          <a:headEnd/>
                          <a:tailEnd/>
                        </a:ln>
                      </pic:spPr>
                    </pic:pic>
                  </a:graphicData>
                </a:graphic>
              </wp:anchor>
            </w:drawing>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2867"/>
            <w:gridCol w:w="2944"/>
          </w:tblGrid>
          <w:tr>
            <w:trPr>
              <w:cantSplit w:val="false"/>
            </w:trPr>
            <w:tc>
              <w:tcPr>
                <w:tcW w:w="2867" w:type="dxa"/>
                <w:tcBorders>
                  <w:top w:val="nil"/>
                  <w:left w:val="nil"/>
                  <w:bottom w:val="nil"/>
                  <w:insideH w:val="nil"/>
                  <w:right w:val="nil"/>
                  <w:insideV w:val="nil"/>
                </w:tcBorders>
                <w:shd w:fill="auto" w:val="clear"/>
              </w:tcPr>
              <w:p>
                <w:pPr>
                  <w:pStyle w:val="Normal"/>
                  <w:spacing w:lineRule="auto" w:line="240" w:before="0" w:after="0"/>
                  <w:jc w:val="center"/>
                  <w:rPr/>
                </w:pPr>
                <w:r>
                  <w:rPr/>
                  <w:drawing>
                    <wp:inline distT="0" distB="0" distL="0" distR="0">
                      <wp:extent cx="1684020" cy="671195"/>
                      <wp:effectExtent l="0" t="0" r="0" b="0"/>
                      <wp:docPr id="1" name="Picture" descr="C:\Users\nancy\Desktop\ΣΕΚΕΕ\HAMAC_NANCY\PR\LOGOS\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nancy\Desktop\ΣΕΚΕΕ\HAMAC_NANCY\PR\LOGOS\Logo_gr.jpg"/>
                              <pic:cNvPicPr>
                                <a:picLocks noChangeAspect="1" noChangeArrowheads="1"/>
                              </pic:cNvPicPr>
                            </pic:nvPicPr>
                            <pic:blipFill>
                              <a:blip r:embed="rId2"/>
                              <a:stretch>
                                <a:fillRect/>
                              </a:stretch>
                            </pic:blipFill>
                            <pic:spPr bwMode="auto">
                              <a:xfrm>
                                <a:off x="0" y="0"/>
                                <a:ext cx="1684020" cy="671195"/>
                              </a:xfrm>
                              <a:prstGeom prst="rect">
                                <a:avLst/>
                              </a:prstGeom>
                              <a:noFill/>
                              <a:ln w="9525">
                                <a:noFill/>
                                <a:miter lim="800000"/>
                                <a:headEnd/>
                                <a:tailEnd/>
                              </a:ln>
                            </pic:spPr>
                          </pic:pic>
                        </a:graphicData>
                      </a:graphic>
                    </wp:inline>
                  </w:drawing>
                </w:r>
              </w:p>
            </w:tc>
            <w:tc>
              <w:tcPr>
                <w:tcW w:w="2944" w:type="dxa"/>
                <w:tcBorders>
                  <w:top w:val="nil"/>
                  <w:left w:val="nil"/>
                  <w:bottom w:val="nil"/>
                  <w:insideH w:val="nil"/>
                  <w:right w:val="nil"/>
                  <w:insideV w:val="nil"/>
                </w:tcBorders>
                <w:shd w:fill="auto" w:val="clear"/>
              </w:tcPr>
              <w:p>
                <w:pPr>
                  <w:pStyle w:val="Normal"/>
                  <w:spacing w:lineRule="auto" w:line="240" w:before="0" w:after="0"/>
                  <w:jc w:val="center"/>
                  <w:rPr/>
                </w:pPr>
                <w:r>
                  <w:rPr/>
                  <w:drawing>
                    <wp:inline distT="0" distB="0" distL="0" distR="0">
                      <wp:extent cx="1440180" cy="457200"/>
                      <wp:effectExtent l="0" t="0" r="0" b="0"/>
                      <wp:docPr id="2" name="Picture" descr="ΕΜηΠΕ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ΕΜηΠΕΕ"/>
                              <pic:cNvPicPr>
                                <a:picLocks noChangeAspect="1" noChangeArrowheads="1"/>
                              </pic:cNvPicPr>
                            </pic:nvPicPr>
                            <pic:blipFill>
                              <a:blip r:embed="rId3"/>
                              <a:stretch>
                                <a:fillRect/>
                              </a:stretch>
                            </pic:blipFill>
                            <pic:spPr bwMode="auto">
                              <a:xfrm>
                                <a:off x="0" y="0"/>
                                <a:ext cx="1440180" cy="457200"/>
                              </a:xfrm>
                              <a:prstGeom prst="rect">
                                <a:avLst/>
                              </a:prstGeom>
                              <a:noFill/>
                              <a:ln w="9525">
                                <a:noFill/>
                                <a:miter lim="800000"/>
                                <a:headEnd/>
                                <a:tailEnd/>
                              </a:ln>
                            </pic:spPr>
                          </pic:pic>
                        </a:graphicData>
                      </a:graphic>
                    </wp:inline>
                  </w:drawing>
                </w:r>
              </w:p>
            </w:tc>
          </w:tr>
          <w:tr>
            <w:trPr>
              <w:trHeight w:val="1410" w:hRule="atLeast"/>
              <w:cantSplit w:val="false"/>
            </w:trPr>
            <w:tc>
              <w:tcPr>
                <w:tcW w:w="2867" w:type="dxa"/>
                <w:tcBorders>
                  <w:top w:val="nil"/>
                  <w:left w:val="nil"/>
                  <w:bottom w:val="nil"/>
                  <w:insideH w:val="nil"/>
                  <w:right w:val="nil"/>
                  <w:insideV w:val="nil"/>
                </w:tcBorders>
                <w:shd w:fill="auto" w:val="clear"/>
              </w:tcPr>
              <w:p>
                <w:pPr>
                  <w:pStyle w:val="Normal"/>
                  <w:spacing w:lineRule="auto" w:line="240" w:before="0" w:after="0"/>
                  <w:jc w:val="center"/>
                  <w:rPr/>
                </w:pPr>
                <w:r>
                  <w:rPr/>
                </w:r>
              </w:p>
              <w:p>
                <w:pPr>
                  <w:pStyle w:val="Normal"/>
                  <w:spacing w:lineRule="auto" w:line="240" w:before="0" w:after="0"/>
                  <w:jc w:val="center"/>
                  <w:rPr/>
                </w:pPr>
                <w:r>
                  <w:rPr/>
                </w:r>
              </w:p>
            </w:tc>
            <w:tc>
              <w:tcPr>
                <w:tcW w:w="2944" w:type="dxa"/>
                <w:tcBorders>
                  <w:top w:val="nil"/>
                  <w:left w:val="nil"/>
                  <w:bottom w:val="nil"/>
                  <w:insideH w:val="nil"/>
                  <w:right w:val="nil"/>
                  <w:insideV w:val="nil"/>
                </w:tcBorders>
                <w:shd w:fill="auto" w:val="clear"/>
              </w:tcPr>
              <w:p>
                <w:pPr>
                  <w:pStyle w:val="Normal"/>
                  <w:spacing w:lineRule="auto" w:line="240" w:before="0" w:after="0"/>
                  <w:jc w:val="center"/>
                  <w:rPr/>
                </w:pPr>
                <w:r>
                  <w:rPr/>
                </w:r>
              </w:p>
            </w:tc>
          </w:tr>
        </w:tbl>
        <w:p>
          <w:pPr>
            <w:pStyle w:val="Normal"/>
            <w:spacing w:lineRule="auto" w:line="240" w:before="0" w:after="0"/>
            <w:jc w:val="center"/>
            <w:rPr/>
          </w:pPr>
          <w:r>
            <w:rPr/>
            <w:t xml:space="preserve"> </w:t>
          </w:r>
        </w:p>
      </w:tc>
      <w:tc>
        <w:tcPr>
          <w:tcW w:w="4393" w:type="dxa"/>
          <w:tcBorders>
            <w:top w:val="nil"/>
            <w:left w:val="nil"/>
            <w:bottom w:val="nil"/>
            <w:insideH w:val="nil"/>
            <w:right w:val="nil"/>
            <w:insideV w:val="nil"/>
          </w:tcBorders>
          <w:shd w:fill="auto" w:val="clear"/>
        </w:tcPr>
        <w:p>
          <w:pPr>
            <w:pStyle w:val="Normal"/>
            <w:tabs>
              <w:tab w:val="center" w:pos="4680" w:leader="none"/>
              <w:tab w:val="right" w:pos="9360" w:leader="none"/>
            </w:tabs>
            <w:spacing w:lineRule="auto" w:line="240" w:before="0" w:after="0"/>
            <w:rPr/>
          </w:pPr>
          <w:r>
            <w:rPr/>
            <w:drawing>
              <wp:inline distT="0" distB="0" distL="0" distR="0">
                <wp:extent cx="2634615" cy="1220470"/>
                <wp:effectExtent l="0" t="0" r="0" b="0"/>
                <wp:docPr id="3" name="Picture" descr="C:\Users\nancy\Desktop\innovathens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C:\Users\nancy\Desktop\innovathens_new_logo.jpg"/>
                        <pic:cNvPicPr>
                          <a:picLocks noChangeAspect="1" noChangeArrowheads="1"/>
                        </pic:cNvPicPr>
                      </pic:nvPicPr>
                      <pic:blipFill>
                        <a:blip r:embed="rId4"/>
                        <a:stretch>
                          <a:fillRect/>
                        </a:stretch>
                      </pic:blipFill>
                      <pic:spPr bwMode="auto">
                        <a:xfrm>
                          <a:off x="0" y="0"/>
                          <a:ext cx="2634615" cy="1220470"/>
                        </a:xfrm>
                        <a:prstGeom prst="rect">
                          <a:avLst/>
                        </a:prstGeom>
                        <a:noFill/>
                        <a:ln w="9525">
                          <a:noFill/>
                          <a:miter lim="800000"/>
                          <a:headEnd/>
                          <a:tailEnd/>
                        </a:ln>
                      </pic:spPr>
                    </pic:pic>
                  </a:graphicData>
                </a:graphic>
              </wp:inline>
            </w:drawing>
          </w:r>
        </w:p>
      </w:tc>
    </w:tr>
  </w:tbl>
  <w:p>
    <w:pPr>
      <w:pStyle w:val="Normal"/>
      <w:tabs>
        <w:tab w:val="center" w:pos="4680" w:leader="none"/>
        <w:tab w:val="right" w:pos="9360" w:leader="none"/>
      </w:tabs>
      <w:spacing w:lineRule="auto" w:line="240" w:before="0" w:after="0"/>
      <w:jc w:val="right"/>
      <w:rPr/>
    </w:pPr>
    <w:r>
      <w:rPr/>
    </w:r>
  </w:p>
</w:hdr>
</file>

<file path=word/settings.xml><?xml version="1.0" encoding="utf-8"?>
<w:settings xmlns:w="http://schemas.openxmlformats.org/wordprocessingml/2006/main">
  <w:zoom w:percent="100"/>
  <w:displayBackgroundShape/>
  <w:defaultTabStop w:val="720"/>
</w:settings>
</file>

<file path=word/styles.xml><?xml version="1.0" encoding="utf-8"?>
<w:styles xmlns:w="http://schemas.openxmlformats.org/wordprocessingml/2006/main">
  <w:docDefaults>
    <w:rPrDefault>
      <w:rPr>
        <w:rFonts w:ascii="Calibri" w:hAnsi="Calibri" w:eastAsia="Calibri" w:cs="Calibri"/>
        <w:color w:val="000000"/>
        <w:sz w:val="22"/>
        <w:lang w:val="el-GR" w:eastAsia="el-GR" w:bidi="ar-SA"/>
      </w:rPr>
    </w:rPrDefault>
    <w:pPrDefault>
      <w:pPr>
        <w:spacing w:lineRule="auto" w:line="276"/>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5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pPr>
      <w:widowControl/>
      <w:suppressAutoHyphens w:val="true"/>
      <w:bidi w:val="0"/>
      <w:spacing w:lineRule="auto" w:line="276" w:before="0" w:after="200"/>
      <w:jc w:val="left"/>
    </w:pPr>
    <w:rPr>
      <w:rFonts w:ascii="Calibri" w:hAnsi="Calibri" w:eastAsia="Calibri" w:cs="Calibri"/>
      <w:color w:val="000000"/>
      <w:sz w:val="22"/>
      <w:szCs w:val="20"/>
      <w:lang w:val="el-GR" w:eastAsia="el-GR" w:bidi="ar-SA"/>
    </w:rPr>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913ec4"/>
    <w:basedOn w:val="DefaultParagraphFont"/>
    <w:rPr>
      <w:rFonts w:ascii="Tahoma" w:hAnsi="Tahoma" w:cs="Tahoma"/>
      <w:sz w:val="16"/>
      <w:szCs w:val="16"/>
    </w:rPr>
  </w:style>
  <w:style w:type="character" w:styleId="HeaderChar" w:customStyle="1">
    <w:name w:val="Header Char"/>
    <w:uiPriority w:val="99"/>
    <w:link w:val="Header"/>
    <w:rsid w:val="00913ec4"/>
    <w:basedOn w:val="DefaultParagraphFont"/>
    <w:rPr/>
  </w:style>
  <w:style w:type="character" w:styleId="FooterChar" w:customStyle="1">
    <w:name w:val="Footer Char"/>
    <w:uiPriority w:val="99"/>
    <w:link w:val="Footer"/>
    <w:rsid w:val="00913ec4"/>
    <w:basedOn w:val="DefaultParagraphFont"/>
    <w:rPr/>
  </w:style>
  <w:style w:type="character" w:styleId="InternetLink">
    <w:name w:val="Internet Link"/>
    <w:uiPriority w:val="99"/>
    <w:semiHidden/>
    <w:unhideWhenUsed/>
    <w:rsid w:val="002c494d"/>
    <w:basedOn w:val="DefaultParagraphFont"/>
    <w:rPr>
      <w:color w:val="0000FF"/>
      <w:u w:val="single"/>
      <w:lang w:val="zxx" w:eastAsia="zxx" w:bidi="zxx"/>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Title">
    <w:name w:val="Title"/>
    <w:basedOn w:val="Normal"/>
    <w:next w:val="Normal"/>
    <w:pPr>
      <w:keepNext/>
      <w:keepLines/>
      <w:spacing w:before="480" w:after="120"/>
      <w:contextualSpacing/>
      <w:jc w:val="left"/>
    </w:pPr>
    <w:rPr>
      <w:b/>
      <w:sz w:val="72"/>
    </w:rPr>
  </w:style>
  <w:style w:type="paragraph" w:styleId="Subtitle">
    <w:name w:val="Subtitle"/>
    <w:basedOn w:val="Normal"/>
    <w:next w:val="Normal"/>
    <w:pPr>
      <w:keepNext/>
      <w:keepLines/>
      <w:spacing w:before="360" w:after="80"/>
      <w:contextualSpacing/>
      <w:jc w:val="left"/>
    </w:pPr>
    <w:rPr>
      <w:rFonts w:ascii="Georgia" w:hAnsi="Georgia" w:eastAsia="Georgia" w:cs="Georgia"/>
      <w:i/>
      <w:color w:val="666666"/>
      <w:sz w:val="48"/>
    </w:rPr>
  </w:style>
  <w:style w:type="paragraph" w:styleId="BalloonText">
    <w:name w:val="Balloon Text"/>
    <w:uiPriority w:val="99"/>
    <w:semiHidden/>
    <w:unhideWhenUsed/>
    <w:link w:val="BalloonTextChar"/>
    <w:rsid w:val="00913ec4"/>
    <w:basedOn w:val="Normal"/>
    <w:pPr>
      <w:spacing w:lineRule="auto" w:line="240" w:before="0" w:after="0"/>
    </w:pPr>
    <w:rPr>
      <w:rFonts w:ascii="Tahoma" w:hAnsi="Tahoma" w:cs="Tahoma"/>
      <w:sz w:val="16"/>
      <w:szCs w:val="16"/>
    </w:rPr>
  </w:style>
  <w:style w:type="paragraph" w:styleId="Header">
    <w:name w:val="Header"/>
    <w:uiPriority w:val="99"/>
    <w:unhideWhenUsed/>
    <w:link w:val="HeaderChar"/>
    <w:rsid w:val="00913ec4"/>
    <w:basedOn w:val="Normal"/>
    <w:pPr>
      <w:tabs>
        <w:tab w:val="center" w:pos="4153" w:leader="none"/>
        <w:tab w:val="right" w:pos="8306" w:leader="none"/>
      </w:tabs>
      <w:spacing w:lineRule="auto" w:line="240" w:before="0" w:after="0"/>
    </w:pPr>
    <w:rPr/>
  </w:style>
  <w:style w:type="paragraph" w:styleId="Footer">
    <w:name w:val="Footer"/>
    <w:uiPriority w:val="99"/>
    <w:unhideWhenUsed/>
    <w:link w:val="FooterChar"/>
    <w:rsid w:val="00913ec4"/>
    <w:basedOn w:val="Normal"/>
    <w:pPr>
      <w:tabs>
        <w:tab w:val="center" w:pos="4153" w:leader="none"/>
        <w:tab w:val="right" w:pos="8306" w:leader="none"/>
      </w:tabs>
      <w:spacing w:lineRule="auto" w:line="240" w:before="0" w:after="0"/>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sekee.gr/default.aspx?lang=el-GR&amp;page=1" TargetMode="External"/><Relationship Id="rId3" Type="http://schemas.openxmlformats.org/officeDocument/2006/relationships/hyperlink" Target="" TargetMode="External"/><Relationship Id="rId4" Type="http://schemas.openxmlformats.org/officeDocument/2006/relationships/hyperlink" Target="https://ellak.gr/" TargetMode="External"/><Relationship Id="rId5" Type="http://schemas.openxmlformats.org/officeDocument/2006/relationships/hyperlink" Target="http://www.openstreetmap.org/way/189636639" TargetMode="External"/><Relationship Id="rId6" Type="http://schemas.openxmlformats.org/officeDocument/2006/relationships/hyperlink" Target="http://www.smartfp7.eu/" TargetMode="External"/><Relationship Id="rId7" Type="http://schemas.openxmlformats.org/officeDocument/2006/relationships/hyperlink" Target="http://www.evacuate.eu/" TargetMode="External"/><Relationship Id="rId8" Type="http://schemas.openxmlformats.org/officeDocument/2006/relationships/hyperlink" Target="https://docs.google.com/forms/d/1rfT8A_arTQ3cefgopg7ylMsB9KlxuLGD-GeJWG3K1Gk/viewform" TargetMode="External"/><Relationship Id="rId9" Type="http://schemas.openxmlformats.org/officeDocument/2006/relationships/hyperlink" Target="http://www.infostrag.gr/" TargetMode="External"/><Relationship Id="rId10" Type="http://schemas.openxmlformats.org/officeDocument/2006/relationships/hyperlink" Target="http://www.liee-ntua.gr/" TargetMode="External"/><Relationship Id="rId11" Type="http://schemas.openxmlformats.org/officeDocument/2006/relationships/hyperlink" Target="http://www.liee-ntua.gr/" TargetMode="External"/><Relationship Id="rId12" Type="http://schemas.openxmlformats.org/officeDocument/2006/relationships/hyperlink" Target="http://www.sekee.gr/default.aspx?lang=el-GR&amp;page=1" TargetMode="External"/><Relationship Id="rId13" Type="http://schemas.openxmlformats.org/officeDocument/2006/relationships/hyperlink" Target="http://www.eellak.gr/" TargetMode="External"/><Relationship Id="rId14" Type="http://schemas.openxmlformats.org/officeDocument/2006/relationships/hyperlink" Target="http://www.eellak.gr/" TargetMode="External"/><Relationship Id="rId15" Type="http://schemas.openxmlformats.org/officeDocument/2006/relationships/hyperlink" Target="http://www.cityofathens.gr/" TargetMode="External"/><Relationship Id="rId16" Type="http://schemas.openxmlformats.org/officeDocument/2006/relationships/hyperlink" Target="http://www.cityofathens.gr/" TargetMode="External"/><Relationship Id="rId17" Type="http://schemas.openxmlformats.org/officeDocument/2006/relationships/hyperlink" Target="http://www.thessaloniki.gr/portal/page/portal/DimosThessalonikis" TargetMode="External"/><Relationship Id="rId18" Type="http://schemas.openxmlformats.org/officeDocument/2006/relationships/hyperlink" Target="http://www.thessaloniki.gr/portal/page/portal/DimosThessalonikis" TargetMode="External"/><Relationship Id="rId19" Type="http://schemas.openxmlformats.org/officeDocument/2006/relationships/hyperlink" Target="http://www.heraklion.gr/" TargetMode="External"/><Relationship Id="rId20" Type="http://schemas.openxmlformats.org/officeDocument/2006/relationships/hyperlink" Target="http://www.heraklion.gr/"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settings" Target="settings.xml"/><Relationship Id="rId25"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Relationship Id="rId3" Type="http://schemas.openxmlformats.org/officeDocument/2006/relationships/image" Target="media/image15.png"/><Relationship Id="rId4" Type="http://schemas.openxmlformats.org/officeDocument/2006/relationships/image" Target="media/image16.jpeg"/>
</Relationships>
</file>

<file path=word/_rels/header1.xml.rels><?xml version="1.0" encoding="UTF-8"?>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 Id="rId3" Type="http://schemas.openxmlformats.org/officeDocument/2006/relationships/image" Target="media/image11.png"/><Relationship Id="rId4" Type="http://schemas.openxmlformats.org/officeDocument/2006/relationships/image" Target="media/image1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LibreOffice/4.2.4.2$Linux_X86_64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2014-10-22T10:48:00Z</dcterms:created>
  <dc:creator>nancy</dc:creator>
  <dc:language>el-GR</dc:language>
  <cp:lastModifiedBy>nancy</cp:lastModifiedBy>
  <dcterms:modified xsi:type="dcterms:W3CDTF">2014-10-22T10:57:00Z</dcterms:modified>
  <cp:revision>3</cp:revision>
  <dc:title>Πρόσκληση σε ομιλητές Bringing Space down to Earth - Smart Cities Services.docx</dc:title>
</cp:coreProperties>
</file>