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2"/>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984885</wp:posOffset>
            </wp:positionH>
            <wp:positionV relativeFrom="paragraph">
              <wp:posOffset>-265430</wp:posOffset>
            </wp:positionV>
            <wp:extent cx="3784600" cy="136080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5" t="-15" r="-5" b="-15"/>
                    <a:stretch>
                      <a:fillRect/>
                    </a:stretch>
                  </pic:blipFill>
                  <pic:spPr bwMode="auto">
                    <a:xfrm>
                      <a:off x="0" y="0"/>
                      <a:ext cx="3784600" cy="1360805"/>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7" w:before="0" w:after="0"/>
        <w:jc w:val="right"/>
        <w:rPr>
          <w:sz w:val="22"/>
          <w:szCs w:val="22"/>
        </w:rPr>
      </w:pPr>
      <w:r>
        <w:rPr>
          <w:rFonts w:cs="Arial" w:ascii="Arial" w:hAnsi="Arial"/>
          <w:b w:val="false"/>
          <w:i w:val="false"/>
          <w:caps w:val="false"/>
          <w:smallCaps w:val="false"/>
          <w:strike w:val="false"/>
          <w:dstrike w:val="false"/>
          <w:color w:val="000000"/>
          <w:sz w:val="22"/>
          <w:szCs w:val="22"/>
          <w:u w:val="none"/>
        </w:rPr>
        <w:t>Παρασκευή</w:t>
      </w:r>
      <w:r>
        <w:rPr>
          <w:rFonts w:cs="Arial" w:ascii="Arial" w:hAnsi="Arial"/>
          <w:b w:val="false"/>
          <w:i w:val="false"/>
          <w:caps w:val="false"/>
          <w:smallCaps w:val="false"/>
          <w:strike w:val="false"/>
          <w:dstrike w:val="false"/>
          <w:color w:val="000000"/>
          <w:sz w:val="22"/>
          <w:szCs w:val="22"/>
          <w:u w:val="none"/>
        </w:rPr>
        <w:t xml:space="preserve"> </w:t>
      </w:r>
      <w:r>
        <w:rPr>
          <w:rFonts w:cs="Arial" w:ascii="Arial" w:hAnsi="Arial"/>
          <w:b w:val="false"/>
          <w:i w:val="false"/>
          <w:caps w:val="false"/>
          <w:smallCaps w:val="false"/>
          <w:strike w:val="false"/>
          <w:dstrike w:val="false"/>
          <w:color w:val="000000"/>
          <w:sz w:val="22"/>
          <w:szCs w:val="22"/>
          <w:u w:val="none"/>
        </w:rPr>
        <w:t>24</w:t>
      </w:r>
      <w:r>
        <w:rPr>
          <w:rFonts w:cs="Arial" w:ascii="Arial" w:hAnsi="Arial"/>
          <w:b w:val="false"/>
          <w:i w:val="false"/>
          <w:caps w:val="false"/>
          <w:smallCaps w:val="false"/>
          <w:strike w:val="false"/>
          <w:dstrike w:val="false"/>
          <w:color w:val="000000"/>
          <w:sz w:val="22"/>
          <w:szCs w:val="22"/>
          <w:u w:val="none"/>
        </w:rPr>
        <w:t xml:space="preserve"> Ιανουαρίου 2020</w:t>
      </w:r>
    </w:p>
    <w:p>
      <w:pPr>
        <w:pStyle w:val="TextBody"/>
        <w:rPr>
          <w:rFonts w:ascii="Arial" w:hAnsi="Arial" w:cs="Arial"/>
          <w:sz w:val="22"/>
          <w:szCs w:val="22"/>
        </w:rPr>
      </w:pPr>
      <w:r>
        <w:rPr>
          <w:rFonts w:cs="Arial" w:ascii="Arial" w:hAnsi="Arial"/>
          <w:sz w:val="22"/>
          <w:szCs w:val="22"/>
        </w:rPr>
      </w:r>
    </w:p>
    <w:p>
      <w:pPr>
        <w:pStyle w:val="TextBody"/>
        <w:bidi w:val="0"/>
        <w:spacing w:lineRule="auto" w:line="427" w:before="0" w:after="0"/>
        <w:jc w:val="center"/>
        <w:rPr>
          <w:rFonts w:ascii="Arial" w:hAnsi="Arial" w:cs="Arial"/>
          <w:b/>
          <w:b/>
          <w:i w:val="false"/>
          <w:i w:val="false"/>
          <w:caps w:val="false"/>
          <w:smallCaps w:val="false"/>
          <w:color w:val="000000"/>
          <w:sz w:val="22"/>
          <w:szCs w:val="22"/>
          <w:u w:val="single"/>
        </w:rPr>
      </w:pPr>
      <w:r>
        <w:rPr>
          <w:rFonts w:cs="Arial" w:ascii="Arial" w:hAnsi="Arial"/>
          <w:b/>
          <w:i w:val="false"/>
          <w:caps w:val="false"/>
          <w:smallCaps w:val="false"/>
          <w:color w:val="000000"/>
          <w:sz w:val="22"/>
          <w:szCs w:val="22"/>
          <w:u w:val="single"/>
        </w:rPr>
        <w:t>ΔΕΛΤΙΟ ΤΥΠΟΥ</w:t>
      </w:r>
    </w:p>
    <w:p>
      <w:pPr>
        <w:pStyle w:val="TextBody"/>
        <w:jc w:val="center"/>
        <w:rPr>
          <w:rFonts w:ascii="Arial" w:hAnsi="Arial"/>
          <w:b/>
          <w:b/>
          <w:bCs/>
          <w:i w:val="false"/>
          <w:caps w:val="false"/>
          <w:smallCaps w:val="false"/>
          <w:strike w:val="false"/>
          <w:dstrike w:val="false"/>
          <w:color w:val="000000"/>
          <w:sz w:val="22"/>
          <w:szCs w:val="22"/>
          <w:u w:val="none"/>
          <w:effect w:val="none"/>
        </w:rPr>
      </w:pPr>
      <w:bookmarkStart w:id="0" w:name="__DdeLink__2554_1035399376"/>
      <w:r>
        <w:rPr>
          <w:rFonts w:ascii="Arial" w:hAnsi="Arial"/>
          <w:b/>
          <w:bCs/>
          <w:i w:val="false"/>
          <w:caps w:val="false"/>
          <w:smallCaps w:val="false"/>
          <w:strike w:val="false"/>
          <w:dstrike w:val="false"/>
          <w:color w:val="000000"/>
          <w:sz w:val="22"/>
          <w:szCs w:val="22"/>
          <w:u w:val="none"/>
          <w:effect w:val="none"/>
        </w:rPr>
        <w:t>Πιστοποίηση από το Ινστιτούτο Ανοικτών Δεδομένων έλαβε η ΤτΕ</w:t>
      </w:r>
      <w:bookmarkEnd w:id="0"/>
    </w:p>
    <w:p>
      <w:pPr>
        <w:pStyle w:val="Normal"/>
        <w:jc w:val="center"/>
        <w:rPr>
          <w:rFonts w:ascii="Arial" w:hAnsi="Arial"/>
          <w:b/>
          <w:i w:val="false"/>
          <w:caps w:val="false"/>
          <w:smallCaps w:val="false"/>
          <w:color w:val="000000"/>
          <w:sz w:val="22"/>
          <w:szCs w:val="22"/>
          <w:u w:val="single"/>
        </w:rPr>
      </w:pPr>
      <w:r>
        <w:rPr>
          <w:rFonts w:ascii="Arial" w:hAnsi="Arial"/>
          <w:b/>
          <w:i w:val="false"/>
          <w:caps w:val="false"/>
          <w:smallCaps w:val="false"/>
          <w:color w:val="000000"/>
          <w:sz w:val="22"/>
          <w:szCs w:val="22"/>
          <w:u w:val="single"/>
        </w:rPr>
      </w:r>
    </w:p>
    <w:p>
      <w:pPr>
        <w:pStyle w:val="TextBody"/>
        <w:bidi w:val="0"/>
        <w:spacing w:lineRule="auto" w:line="360" w:before="0" w:after="0"/>
        <w:jc w:val="both"/>
        <w:rPr/>
      </w:pPr>
      <w:r>
        <w:rPr>
          <w:rFonts w:ascii="arial" w:hAnsi="arial"/>
          <w:sz w:val="22"/>
          <w:szCs w:val="22"/>
        </w:rPr>
        <w:t xml:space="preserve">Η Τράπεζα της Ελλάδος έλαβε πιστοποίηση από τον </w:t>
      </w:r>
      <w:hyperlink r:id="rId3">
        <w:r>
          <w:rPr>
            <w:rStyle w:val="InternetLink"/>
            <w:rFonts w:ascii="arial" w:hAnsi="arial"/>
            <w:sz w:val="22"/>
            <w:szCs w:val="22"/>
          </w:rPr>
          <w:t>Ελληνικό Κόμβο</w:t>
        </w:r>
      </w:hyperlink>
      <w:r>
        <w:rPr>
          <w:rFonts w:ascii="arial" w:hAnsi="arial"/>
          <w:sz w:val="22"/>
          <w:szCs w:val="22"/>
        </w:rPr>
        <w:t xml:space="preserve"> του </w:t>
      </w:r>
      <w:r>
        <w:rPr>
          <w:rFonts w:ascii="arial" w:hAnsi="arial"/>
          <w:b/>
          <w:bCs/>
          <w:sz w:val="22"/>
          <w:szCs w:val="22"/>
        </w:rPr>
        <w:t>Ινστιτούτου Ανοικτών Δεδομένων</w:t>
      </w:r>
      <w:r>
        <w:rPr>
          <w:rFonts w:ascii="arial" w:hAnsi="arial"/>
          <w:sz w:val="22"/>
          <w:szCs w:val="22"/>
        </w:rPr>
        <w:t>, τον οποίο διαχειρίζεται ο Οργανισμός Ανοιχτών Τεχνολογιών – ΕΕΛ/ΛΑΚ, για τα στοιχεία που δημοσιεύει στην πύλη ανοικτών δεδομένων της (open data portal). Το Ινστιτούτο Ανοικτών Δεδομένων έχει συνιδρυθεί από τον εφευρέτη του World Wide Web, Τιμ Μπέρνερς Λι, και έχει ως αποστολή να αναδείξει την αξία των ανοικτών δεδομένων και να υποστηρίξει την καινοτόμο χρήση τους.</w:t>
      </w:r>
    </w:p>
    <w:p>
      <w:pPr>
        <w:pStyle w:val="TextBody"/>
        <w:bidi w:val="0"/>
        <w:spacing w:lineRule="auto" w:line="360" w:before="0" w:after="0"/>
        <w:jc w:val="both"/>
        <w:rPr>
          <w:rFonts w:ascii="arial" w:hAnsi="arial"/>
          <w:sz w:val="22"/>
          <w:szCs w:val="22"/>
        </w:rPr>
      </w:pPr>
      <w:r>
        <w:rPr>
          <w:rFonts w:ascii="arial" w:hAnsi="arial"/>
          <w:sz w:val="22"/>
          <w:szCs w:val="22"/>
        </w:rPr>
      </w:r>
    </w:p>
    <w:p>
      <w:pPr>
        <w:pStyle w:val="TextBody"/>
        <w:bidi w:val="0"/>
        <w:spacing w:lineRule="auto" w:line="360" w:before="0" w:after="0"/>
        <w:jc w:val="both"/>
        <w:rPr>
          <w:rFonts w:ascii="arial" w:hAnsi="arial"/>
          <w:sz w:val="22"/>
          <w:szCs w:val="22"/>
        </w:rPr>
      </w:pPr>
      <w:r>
        <w:rPr>
          <w:rFonts w:ascii="arial" w:hAnsi="arial"/>
          <w:sz w:val="22"/>
          <w:szCs w:val="22"/>
        </w:rPr>
        <w:t xml:space="preserve">Σημειώνεται ότι η Τράπεζα της Ελλάδος είναι η </w:t>
      </w:r>
      <w:r>
        <w:rPr>
          <w:rFonts w:ascii="arial" w:hAnsi="arial"/>
          <w:b/>
          <w:bCs/>
          <w:sz w:val="22"/>
          <w:szCs w:val="22"/>
        </w:rPr>
        <w:t>πρώτη κεντρική τράπεζα διεθνώς</w:t>
      </w:r>
      <w:r>
        <w:rPr>
          <w:rFonts w:ascii="arial" w:hAnsi="arial"/>
          <w:sz w:val="22"/>
          <w:szCs w:val="22"/>
        </w:rPr>
        <w:t xml:space="preserve"> και ο πρώτος οργανισμός στην Ελλάδα που λαμβάνει τη σχετική πιστοποίηση.</w:t>
      </w:r>
    </w:p>
    <w:p>
      <w:pPr>
        <w:pStyle w:val="TextBody"/>
        <w:bidi w:val="0"/>
        <w:spacing w:lineRule="auto" w:line="360" w:before="0" w:after="0"/>
        <w:jc w:val="both"/>
        <w:rPr>
          <w:rFonts w:ascii="arial" w:hAnsi="arial"/>
          <w:sz w:val="22"/>
          <w:szCs w:val="22"/>
        </w:rPr>
      </w:pPr>
      <w:r>
        <w:rPr>
          <w:rFonts w:ascii="arial" w:hAnsi="arial"/>
          <w:sz w:val="22"/>
          <w:szCs w:val="22"/>
        </w:rPr>
      </w:r>
    </w:p>
    <w:p>
      <w:pPr>
        <w:pStyle w:val="TextBody"/>
        <w:bidi w:val="0"/>
        <w:spacing w:lineRule="auto" w:line="360" w:before="0" w:after="0"/>
        <w:jc w:val="both"/>
        <w:rPr>
          <w:rFonts w:ascii="arial" w:hAnsi="arial"/>
          <w:sz w:val="22"/>
          <w:szCs w:val="22"/>
        </w:rPr>
      </w:pPr>
      <w:r>
        <w:rPr>
          <w:rFonts w:ascii="arial" w:hAnsi="arial"/>
          <w:sz w:val="22"/>
          <w:szCs w:val="22"/>
        </w:rPr>
        <w:t>Μέσω της πύλης ανοικτών δεδομένων, το ευρύ κοινό καθώς και η ερευνητική κοινότητα έχουν ανοικτή πρόσβαση σε ενημερωμένα στοιχεία υψηλής ποιότητας για την αγορά ακινήτων, τα δημόσια οικονομικά, τις συναλλαγματικές ισοτιμίες κ.ά. Τα στοιχεία είναι διαθέσιμα σε μηχαναγνώσιμη μορφή, δηλαδή σε μορφή που επιτρέπει την άμεση ανάγνωση και επεξεργασία τους από υπολογιστές. Η πιστοποίηση της διαδικασίας δημοσίευσης των στοιχείων από το Ινστιτούτο Ανοικτών Δεδομένων εγγυάται την υψηλή ποιότητά τους.</w:t>
      </w:r>
    </w:p>
    <w:p>
      <w:pPr>
        <w:pStyle w:val="TextBody"/>
        <w:bidi w:val="0"/>
        <w:spacing w:lineRule="auto" w:line="360" w:before="0" w:after="0"/>
        <w:jc w:val="both"/>
        <w:rPr>
          <w:rFonts w:ascii="arial" w:hAnsi="arial"/>
          <w:sz w:val="22"/>
          <w:szCs w:val="22"/>
        </w:rPr>
      </w:pPr>
      <w:r>
        <w:rPr>
          <w:rFonts w:ascii="arial" w:hAnsi="arial"/>
          <w:sz w:val="22"/>
          <w:szCs w:val="22"/>
        </w:rPr>
      </w:r>
    </w:p>
    <w:p>
      <w:pPr>
        <w:pStyle w:val="TextBody"/>
        <w:bidi w:val="0"/>
        <w:spacing w:lineRule="auto" w:line="360" w:before="0" w:after="0"/>
        <w:jc w:val="both"/>
        <w:rPr>
          <w:rFonts w:ascii="arial" w:hAnsi="arial"/>
          <w:sz w:val="22"/>
          <w:szCs w:val="22"/>
        </w:rPr>
      </w:pPr>
      <w:r>
        <w:rPr>
          <w:rFonts w:ascii="arial" w:hAnsi="arial"/>
          <w:sz w:val="22"/>
          <w:szCs w:val="22"/>
        </w:rPr>
        <w:t xml:space="preserve">Η πύλη ανοικτών δεδομένων (open data portal) της Τράπεζας της Ελλάδος βρίσκεται σε λειτουργία από τις </w:t>
      </w:r>
      <w:r>
        <w:rPr>
          <w:rFonts w:ascii="arial" w:hAnsi="arial"/>
          <w:b/>
          <w:bCs/>
          <w:sz w:val="22"/>
          <w:szCs w:val="22"/>
        </w:rPr>
        <w:t>4 Ιουλίου 2018</w:t>
      </w:r>
      <w:r>
        <w:rPr>
          <w:rFonts w:ascii="arial" w:hAnsi="arial"/>
          <w:sz w:val="22"/>
          <w:szCs w:val="22"/>
        </w:rPr>
        <w:t xml:space="preserve"> και εμπλουτίζεται σταδιακά με νέα σύνολα δεδομένων.</w:t>
      </w:r>
    </w:p>
    <w:p>
      <w:pPr>
        <w:pStyle w:val="TextBody"/>
        <w:bidi w:val="0"/>
        <w:spacing w:lineRule="auto" w:line="360" w:before="0" w:after="0"/>
        <w:jc w:val="both"/>
        <w:rPr>
          <w:rFonts w:ascii="Arial" w:hAnsi="Arial"/>
          <w:b/>
          <w:i/>
          <w:caps w:val="false"/>
          <w:smallCaps w:val="false"/>
          <w:strike w:val="false"/>
          <w:dstrike w:val="false"/>
          <w:color w:val="000000"/>
          <w:sz w:val="22"/>
          <w:u w:val="none"/>
          <w:effect w:val="none"/>
        </w:rPr>
      </w:pPr>
      <w:r>
        <w:rPr>
          <w:rFonts w:ascii="Arial" w:hAnsi="Arial"/>
          <w:b/>
          <w:i/>
          <w:caps w:val="false"/>
          <w:smallCaps w:val="false"/>
          <w:strike w:val="false"/>
          <w:dstrike w:val="false"/>
          <w:color w:val="000000"/>
          <w:sz w:val="22"/>
          <w:u w:val="none"/>
          <w:effect w:val="none"/>
        </w:rPr>
      </w:r>
    </w:p>
    <w:p>
      <w:pPr>
        <w:pStyle w:val="TextBody"/>
        <w:rPr>
          <w:rFonts w:ascii="verdanda" w:hAnsi="verdanda" w:cs="verdanda"/>
          <w:b/>
          <w:b/>
          <w:color w:val="000000"/>
          <w:sz w:val="20"/>
          <w:szCs w:val="20"/>
          <w:lang w:val="fr-FR"/>
        </w:rPr>
      </w:pPr>
      <w:r>
        <w:rPr>
          <w:rFonts w:cs="verdanda" w:ascii="verdanda" w:hAnsi="verdanda"/>
          <w:b/>
          <w:color w:val="000000"/>
          <w:sz w:val="20"/>
          <w:szCs w:val="20"/>
          <w:lang w:val="fr-FR"/>
        </w:rPr>
      </w:r>
    </w:p>
    <w:p>
      <w:pPr>
        <w:pStyle w:val="TextBody"/>
        <w:rPr>
          <w:rFonts w:ascii="verdanda" w:hAnsi="verdanda" w:cs="verdanda"/>
          <w:b/>
          <w:b/>
          <w:color w:val="000000"/>
          <w:sz w:val="20"/>
          <w:szCs w:val="20"/>
          <w:lang w:val="fr-FR"/>
        </w:rPr>
      </w:pPr>
      <w:r>
        <w:rPr>
          <w:rFonts w:cs="verdanda" w:ascii="verdanda" w:hAnsi="verdanda"/>
          <w:b/>
          <w:color w:val="000000"/>
          <w:sz w:val="20"/>
          <w:szCs w:val="20"/>
          <w:lang w:val="fr-FR"/>
        </w:rPr>
        <w:t>________________________________________________________________</w:t>
      </w:r>
    </w:p>
    <w:p>
      <w:pPr>
        <w:pStyle w:val="Normal"/>
        <w:spacing w:lineRule="auto" w:line="360"/>
        <w:jc w:val="both"/>
        <w:rPr>
          <w:rFonts w:ascii="verdanda" w:hAnsi="verdanda" w:cs="verdanda"/>
          <w:sz w:val="20"/>
          <w:szCs w:val="20"/>
        </w:rPr>
      </w:pPr>
      <w:r>
        <w:rPr>
          <w:rFonts w:cs="verdanda" w:ascii="verdanda" w:hAnsi="verdanda"/>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1</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4">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5">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6">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7"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8"/>
      <w:type w:val="nextPage"/>
      <w:pgSz w:w="11906" w:h="16838"/>
      <w:pgMar w:left="1134" w:right="1133" w:header="0"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WenQuanYi Micro Hei"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rPr>
  </w:style>
  <w:style w:type="character" w:styleId="WW8Num4z0">
    <w:name w:val="WW8Num4z0"/>
    <w:qFormat/>
    <w:rPr>
      <w:rFonts w:ascii="Symbol" w:hAnsi="Symbol" w:cs="OpenSymbol;Arial Unicode MS"/>
      <w:caps w:val="false"/>
      <w:smallCaps w:val="false"/>
      <w:strike w:val="false"/>
      <w:dstrike w:val="false"/>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theodi.org/organisation/odi-athens/" TargetMode="External"/><Relationship Id="rId4" Type="http://schemas.openxmlformats.org/officeDocument/2006/relationships/hyperlink" Target="http://wiki.creativecommons.org/Greece" TargetMode="External"/><Relationship Id="rId5" Type="http://schemas.openxmlformats.org/officeDocument/2006/relationships/hyperlink" Target="http://www.communia-association.org/" TargetMode="External"/><Relationship Id="rId6" Type="http://schemas.openxmlformats.org/officeDocument/2006/relationships/hyperlink" Target="http://opendatainstitute.org/" TargetMode="External"/><Relationship Id="rId7" Type="http://schemas.openxmlformats.org/officeDocument/2006/relationships/hyperlink" Target="http://internationalbudget.org/what-we-do/major-ibp-initiatives/open-budget-initiative"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86</TotalTime>
  <Application>LibreOffice/6.0.7.3$Linux_X86_64 LibreOffice_project/00m0$Build-3</Application>
  <Pages>2</Pages>
  <Words>385</Words>
  <Characters>2524</Characters>
  <CharactersWithSpaces>2940</CharactersWithSpaces>
  <Paragraphs>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2019-04-16T12:26:38Z</dcterms:created>
  <dc:creator/>
  <dc:description/>
  <dc:language>en-US</dc:language>
  <cp:lastModifiedBy/>
  <dcterms:modified xsi:type="dcterms:W3CDTF">2020-01-24T15:01:05Z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