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p>
      <w:pPr>
        <w:pStyle w:val="Normal"/>
        <w:rPr/>
      </w:pPr>
      <w:r>
        <w:rPr/>
      </w:r>
    </w:p>
    <w:tbl>
      <w:tblPr>
        <w:tblW w:w="9286" w:type="dxa"/>
        <w:jc w:val="left"/>
        <w:tblInd w:w="108" w:type="dxa"/>
        <w:tblCellMar>
          <w:top w:w="0" w:type="dxa"/>
          <w:left w:w="108" w:type="dxa"/>
          <w:bottom w:w="0" w:type="dxa"/>
          <w:right w:w="108" w:type="dxa"/>
        </w:tblCellMar>
        <w:tblLook w:val="04a0" w:noHBand="0" w:noVBand="1" w:firstColumn="1" w:lastRow="0" w:lastColumn="0" w:firstRow="1"/>
      </w:tblPr>
      <w:tblGrid>
        <w:gridCol w:w="5547"/>
        <w:gridCol w:w="3738"/>
      </w:tblGrid>
      <w:tr>
        <w:trPr>
          <w:trHeight w:val="1757" w:hRule="atLeast"/>
        </w:trPr>
        <w:tc>
          <w:tcPr>
            <w:tcW w:w="5547" w:type="dxa"/>
            <w:tcBorders>
              <w:left w:val="single" w:sz="48" w:space="0" w:color="BC9E6E"/>
            </w:tcBorders>
            <w:shd w:color="auto" w:fill="auto" w:val="clear"/>
            <w:vAlign w:val="center"/>
          </w:tcPr>
          <w:tbl>
            <w:tblPr>
              <w:tblStyle w:val="TableGrid"/>
              <w:tblW w:w="5081" w:type="dxa"/>
              <w:jc w:val="left"/>
              <w:tblInd w:w="250" w:type="dxa"/>
              <w:tblCellMar>
                <w:top w:w="0" w:type="dxa"/>
                <w:left w:w="108" w:type="dxa"/>
                <w:bottom w:w="0" w:type="dxa"/>
                <w:right w:w="108" w:type="dxa"/>
              </w:tblCellMar>
              <w:tblLook w:val="04a0" w:noHBand="0" w:noVBand="1" w:firstColumn="1" w:lastRow="0" w:lastColumn="0" w:firstRow="1"/>
            </w:tblPr>
            <w:tblGrid>
              <w:gridCol w:w="2240"/>
              <w:gridCol w:w="2620"/>
              <w:gridCol w:w="90"/>
              <w:gridCol w:w="130"/>
            </w:tblGrid>
            <w:tr>
              <w:trPr/>
              <w:tc>
                <w:tcPr>
                  <w:tcW w:w="2240" w:type="dxa"/>
                  <w:tcBorders>
                    <w:top w:val="nil"/>
                    <w:left w:val="nil"/>
                    <w:bottom w:val="nil"/>
                    <w:right w:val="nil"/>
                  </w:tcBorders>
                </w:tcPr>
                <w:p>
                  <w:pPr>
                    <w:pStyle w:val="Normal"/>
                    <w:rPr/>
                  </w:pPr>
                  <w:r>
                    <w:rPr/>
                    <w:drawing>
                      <wp:inline distT="0" distB="0" distL="0" distR="0">
                        <wp:extent cx="1285875" cy="692785"/>
                        <wp:effectExtent l="0" t="0" r="0" b="0"/>
                        <wp:docPr id="1"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 small EL"/>
                                <pic:cNvPicPr>
                                  <a:picLocks noChangeAspect="1" noChangeArrowheads="1"/>
                                </pic:cNvPicPr>
                              </pic:nvPicPr>
                              <pic:blipFill>
                                <a:blip r:embed="rId2"/>
                                <a:stretch>
                                  <a:fillRect/>
                                </a:stretch>
                              </pic:blipFill>
                              <pic:spPr bwMode="auto">
                                <a:xfrm>
                                  <a:off x="0" y="0"/>
                                  <a:ext cx="1285875" cy="692785"/>
                                </a:xfrm>
                                <a:prstGeom prst="rect">
                                  <a:avLst/>
                                </a:prstGeom>
                              </pic:spPr>
                            </pic:pic>
                          </a:graphicData>
                        </a:graphic>
                      </wp:inline>
                    </w:drawing>
                  </w:r>
                </w:p>
              </w:tc>
              <w:tc>
                <w:tcPr>
                  <w:tcW w:w="2620" w:type="dxa"/>
                  <w:tcBorders>
                    <w:top w:val="nil"/>
                    <w:left w:val="nil"/>
                    <w:bottom w:val="nil"/>
                    <w:right w:val="nil"/>
                  </w:tcBorders>
                </w:tcPr>
                <w:p>
                  <w:pPr>
                    <w:pStyle w:val="Normal"/>
                    <w:rPr/>
                  </w:pPr>
                  <w:r>
                    <w:rPr/>
                    <w:drawing>
                      <wp:inline distT="0" distB="0" distL="0" distR="0">
                        <wp:extent cx="1526540" cy="411480"/>
                        <wp:effectExtent l="0" t="0" r="0" b="0"/>
                        <wp:docPr id="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
                                <pic:cNvPicPr>
                                  <a:picLocks noChangeAspect="1" noChangeArrowheads="1"/>
                                </pic:cNvPicPr>
                              </pic:nvPicPr>
                              <pic:blipFill>
                                <a:blip r:embed="rId3"/>
                                <a:stretch>
                                  <a:fillRect/>
                                </a:stretch>
                              </pic:blipFill>
                              <pic:spPr bwMode="auto">
                                <a:xfrm>
                                  <a:off x="0" y="0"/>
                                  <a:ext cx="1526540" cy="411480"/>
                                </a:xfrm>
                                <a:prstGeom prst="rect">
                                  <a:avLst/>
                                </a:prstGeom>
                              </pic:spPr>
                            </pic:pic>
                          </a:graphicData>
                        </a:graphic>
                      </wp:inline>
                    </w:drawing>
                  </w:r>
                </w:p>
              </w:tc>
              <w:tc>
                <w:tcPr>
                  <w:tcW w:w="90" w:type="dxa"/>
                  <w:tcBorders>
                    <w:top w:val="nil"/>
                    <w:left w:val="nil"/>
                    <w:bottom w:val="nil"/>
                    <w:right w:val="nil"/>
                  </w:tcBorders>
                </w:tcPr>
                <w:p>
                  <w:pPr>
                    <w:pStyle w:val="Normal"/>
                    <w:rPr/>
                  </w:pPr>
                  <w:r>
                    <w:rPr/>
                  </w:r>
                </w:p>
              </w:tc>
              <w:tc>
                <w:tcPr>
                  <w:tcW w:w="130" w:type="dxa"/>
                  <w:tcBorders>
                    <w:top w:val="nil"/>
                    <w:left w:val="nil"/>
                    <w:bottom w:val="nil"/>
                    <w:right w:val="nil"/>
                  </w:tcBorders>
                </w:tcPr>
                <w:p>
                  <w:pPr>
                    <w:pStyle w:val="Normal"/>
                    <w:rPr/>
                  </w:pPr>
                  <w:r>
                    <w:rPr/>
                  </w:r>
                </w:p>
              </w:tc>
            </w:tr>
          </w:tbl>
          <w:p>
            <w:pPr>
              <w:pStyle w:val="Normal"/>
              <w:tabs>
                <w:tab w:val="clear" w:pos="720"/>
                <w:tab w:val="left" w:pos="4680" w:leader="none"/>
                <w:tab w:val="left" w:pos="8100" w:leader="none"/>
              </w:tabs>
              <w:spacing w:before="60" w:after="0"/>
              <w:ind w:right="142" w:firstLine="142"/>
              <w:rPr>
                <w:i/>
                <w:i/>
                <w:szCs w:val="22"/>
                <w:lang w:eastAsia="en-GB"/>
              </w:rPr>
            </w:pPr>
            <w:r>
              <w:rPr>
                <w:i/>
                <w:szCs w:val="22"/>
                <w:lang w:eastAsia="en-GB"/>
              </w:rPr>
            </w:r>
          </w:p>
        </w:tc>
        <w:tc>
          <w:tcPr>
            <w:tcW w:w="3738" w:type="dxa"/>
            <w:tcBorders/>
            <w:shd w:color="auto" w:fill="auto" w:val="clear"/>
          </w:tcPr>
          <w:p>
            <w:pPr>
              <w:pStyle w:val="Heading1"/>
              <w:jc w:val="right"/>
              <w:rPr>
                <w:b/>
                <w:b/>
                <w:i w:val="false"/>
                <w:i w:val="false"/>
                <w:sz w:val="32"/>
                <w:szCs w:val="22"/>
                <w:u w:val="none"/>
                <w:lang w:eastAsia="en-GB"/>
              </w:rPr>
            </w:pPr>
            <w:r>
              <w:rPr>
                <w:b/>
                <w:i w:val="false"/>
                <w:sz w:val="32"/>
                <w:szCs w:val="22"/>
                <w:u w:val="none"/>
                <w:lang w:eastAsia="en-GB"/>
              </w:rPr>
            </w:r>
          </w:p>
          <w:p>
            <w:pPr>
              <w:pStyle w:val="Heading1"/>
              <w:ind w:hanging="0"/>
              <w:jc w:val="right"/>
              <w:rPr>
                <w:b/>
                <w:b/>
                <w:i w:val="false"/>
                <w:i w:val="false"/>
                <w:color w:val="00205B"/>
                <w:sz w:val="28"/>
                <w:szCs w:val="22"/>
                <w:u w:val="none"/>
                <w:lang w:eastAsia="en-GB"/>
              </w:rPr>
            </w:pPr>
            <w:r>
              <w:rPr>
                <w:b/>
                <w:i w:val="false"/>
                <w:color w:val="00205B"/>
                <w:sz w:val="28"/>
                <w:szCs w:val="22"/>
                <w:u w:val="none"/>
                <w:lang w:eastAsia="en-GB"/>
              </w:rPr>
              <w:t xml:space="preserve">ΔΕΛΤΙΟ ΤΥΠΟΥ </w:t>
            </w:r>
          </w:p>
          <w:p>
            <w:pPr>
              <w:pStyle w:val="Heading1"/>
              <w:ind w:hanging="0"/>
              <w:jc w:val="right"/>
              <w:rPr>
                <w:i w:val="false"/>
                <w:i w:val="false"/>
                <w:szCs w:val="22"/>
                <w:u w:val="none"/>
                <w:lang w:eastAsia="en-GB"/>
              </w:rPr>
            </w:pPr>
            <w:r>
              <w:rPr>
                <w:i w:val="false"/>
                <w:color w:val="00205B"/>
                <w:szCs w:val="22"/>
                <w:u w:val="none"/>
                <w:lang w:eastAsia="en-GB"/>
              </w:rPr>
              <w:t>Αθήνα, 15 Μαρτίου 2022</w:t>
            </w:r>
          </w:p>
        </w:tc>
      </w:tr>
    </w:tbl>
    <w:p>
      <w:pPr>
        <w:pStyle w:val="Heading1"/>
        <w:ind w:hanging="0"/>
        <w:jc w:val="center"/>
        <w:rPr>
          <w:i w:val="false"/>
          <w:i w:val="false"/>
          <w:szCs w:val="22"/>
          <w:u w:val="none"/>
          <w:lang w:eastAsia="en-GB"/>
        </w:rPr>
      </w:pPr>
      <w:r>
        <w:rPr>
          <w:i w:val="false"/>
          <w:szCs w:val="22"/>
          <w:u w:val="none"/>
          <w:lang w:eastAsia="en-GB"/>
        </w:rPr>
      </w:r>
    </w:p>
    <w:p>
      <w:pPr>
        <w:pStyle w:val="Normal"/>
        <w:rPr>
          <w:lang w:val="el-GR" w:eastAsia="en-GB"/>
        </w:rPr>
      </w:pPr>
      <w:r>
        <w:rPr>
          <w:lang w:val="el-GR" w:eastAsia="en-GB"/>
        </w:rPr>
      </w:r>
    </w:p>
    <w:p>
      <w:pPr>
        <w:pStyle w:val="Normal"/>
        <w:spacing w:lineRule="auto" w:line="276"/>
        <w:rPr>
          <w:b/>
          <w:b/>
          <w:color w:val="00205B"/>
          <w:sz w:val="32"/>
          <w:szCs w:val="32"/>
          <w:lang w:val="el-GR"/>
        </w:rPr>
      </w:pPr>
      <w:r>
        <w:rPr>
          <w:b/>
          <w:color w:val="00205B"/>
          <w:sz w:val="32"/>
          <w:szCs w:val="32"/>
          <w:lang w:val="el-GR"/>
        </w:rPr>
        <w:t>Διαδικτυακή ημερίδα με θέμα «Τεχνολογίες Ανοικτής Τραπεζικής: FinTech - Open Banking Protocols» (</w:t>
      </w:r>
      <w:r>
        <w:rPr>
          <w:b/>
          <w:color w:val="00205B"/>
          <w:sz w:val="32"/>
          <w:szCs w:val="32"/>
          <w:lang w:val="en-US"/>
        </w:rPr>
        <w:t>Video</w:t>
      </w:r>
      <w:r>
        <w:rPr>
          <w:b/>
          <w:color w:val="00205B"/>
          <w:sz w:val="32"/>
          <w:szCs w:val="32"/>
          <w:lang w:val="el-GR"/>
        </w:rPr>
        <w:t>)</w:t>
      </w:r>
    </w:p>
    <w:p>
      <w:pPr>
        <w:pStyle w:val="Normal"/>
        <w:rPr>
          <w:lang w:val="el-GR"/>
        </w:rPr>
      </w:pPr>
      <w:r>
        <w:rPr>
          <w:lang w:val="el-GR"/>
        </w:rPr>
      </w:r>
    </w:p>
    <w:p>
      <w:pPr>
        <w:pStyle w:val="Normal"/>
        <w:rPr>
          <w:lang w:val="el-GR"/>
        </w:rPr>
      </w:pPr>
      <w:r>
        <w:rPr>
          <w:lang w:val="el-GR"/>
        </w:rPr>
      </w:r>
    </w:p>
    <w:p>
      <w:pPr>
        <w:pStyle w:val="Normal"/>
        <w:numPr>
          <w:ilvl w:val="0"/>
          <w:numId w:val="1"/>
        </w:numPr>
        <w:spacing w:lineRule="auto" w:line="360" w:before="120" w:after="0"/>
        <w:jc w:val="both"/>
        <w:rPr>
          <w:sz w:val="22"/>
          <w:szCs w:val="22"/>
          <w:lang w:val="el-GR"/>
        </w:rPr>
      </w:pPr>
      <w:r>
        <w:rPr>
          <w:sz w:val="22"/>
          <w:szCs w:val="22"/>
          <w:lang w:val="el-GR"/>
        </w:rPr>
        <w:t>Η Τράπεζα της Ελλάδος σε συνεργασία με τον Οργανισμό Ανοιχτών Τεχνολογιών (ΕΕΛΛΑΚ), διοργάνωσε διαδικτυακή ημερίδα με θέμα «Τεχνολογίες Ανοικτής Τραπεζικής: FinTech - Open Banking Protocols».</w:t>
      </w:r>
    </w:p>
    <w:p>
      <w:pPr>
        <w:pStyle w:val="Normal"/>
        <w:numPr>
          <w:ilvl w:val="0"/>
          <w:numId w:val="1"/>
        </w:numPr>
        <w:spacing w:lineRule="auto" w:line="360" w:before="120" w:after="0"/>
        <w:jc w:val="both"/>
        <w:rPr>
          <w:sz w:val="22"/>
          <w:szCs w:val="22"/>
          <w:lang w:val="el-GR"/>
        </w:rPr>
      </w:pPr>
      <w:r>
        <w:rPr>
          <w:sz w:val="22"/>
          <w:szCs w:val="22"/>
          <w:lang w:val="el-GR"/>
        </w:rPr>
        <w:t xml:space="preserve">Η Τράπεζα της Ελλάδος είναι πρωτοπόρος ανάμεσα στις εθνικές κεντρικές τράπεζες στον τομέα των ανοικτών δεδομένων με τη λειτουργία του </w:t>
      </w:r>
      <w:hyperlink r:id="rId4">
        <w:r>
          <w:rPr>
            <w:rStyle w:val="InternetLink"/>
            <w:sz w:val="22"/>
            <w:szCs w:val="22"/>
            <w:lang w:val="el-GR"/>
          </w:rPr>
          <w:t>Open Data Portal</w:t>
        </w:r>
      </w:hyperlink>
      <w:r>
        <w:rPr>
          <w:sz w:val="22"/>
          <w:szCs w:val="22"/>
          <w:lang w:val="el-GR"/>
        </w:rPr>
        <w:t xml:space="preserve"> από το 2018. </w:t>
      </w:r>
    </w:p>
    <w:p>
      <w:pPr>
        <w:pStyle w:val="Normal"/>
        <w:numPr>
          <w:ilvl w:val="0"/>
          <w:numId w:val="1"/>
        </w:numPr>
        <w:spacing w:lineRule="auto" w:line="360" w:before="120" w:after="0"/>
        <w:jc w:val="both"/>
        <w:rPr>
          <w:sz w:val="22"/>
          <w:szCs w:val="22"/>
          <w:lang w:val="el-GR"/>
        </w:rPr>
      </w:pPr>
      <w:r>
        <w:rPr>
          <w:sz w:val="22"/>
          <w:szCs w:val="22"/>
          <w:lang w:val="el-GR"/>
        </w:rPr>
        <w:t xml:space="preserve">Πρόθεση της Τράπεζας της Ελλάδος είναι να διεξάγει διαγωνισμό </w:t>
      </w:r>
      <w:r>
        <w:rPr>
          <w:b/>
          <w:sz w:val="22"/>
          <w:szCs w:val="22"/>
          <w:lang w:val="en-US"/>
        </w:rPr>
        <w:t>D</w:t>
      </w:r>
      <w:r>
        <w:rPr>
          <w:b/>
          <w:sz w:val="22"/>
          <w:szCs w:val="22"/>
          <w:lang w:val="el-GR"/>
        </w:rPr>
        <w:t>atathon</w:t>
      </w:r>
      <w:r>
        <w:rPr>
          <w:sz w:val="22"/>
          <w:szCs w:val="22"/>
          <w:lang w:val="el-GR"/>
        </w:rPr>
        <w:t xml:space="preserve"> το φθινόπωρο του 2022, για την αναζήτηση καινοτόμων λύσεων με τη χρήση ανοικτών δεδομένων.</w:t>
      </w:r>
    </w:p>
    <w:p>
      <w:pPr>
        <w:pStyle w:val="Normal"/>
        <w:spacing w:lineRule="auto" w:line="360" w:before="120" w:after="0"/>
        <w:jc w:val="both"/>
        <w:rPr>
          <w:sz w:val="22"/>
          <w:szCs w:val="22"/>
          <w:lang w:val="el-GR"/>
        </w:rPr>
      </w:pPr>
      <w:r>
        <w:rPr>
          <w:sz w:val="22"/>
          <w:szCs w:val="22"/>
          <w:lang w:val="el-GR"/>
        </w:rPr>
        <w:t xml:space="preserve">Η Τράπεζα της Ελλάδος διοργάνωσε σήμερα, Τρίτη 15 Μαρτίου 2022, σε συνεργασία με τον Οργανισμό Ανοιχτών Τεχνολογιών (ΕΕΛΛΑΚ), διαδικτυακή ημερίδα με θέμα «Τεχνολογίες Ανοικτής Τραπεζικής: FinTech - Open Banking Protocols». </w:t>
      </w:r>
    </w:p>
    <w:p>
      <w:pPr>
        <w:pStyle w:val="Normal"/>
        <w:spacing w:lineRule="auto" w:line="360" w:before="120" w:after="0"/>
        <w:jc w:val="both"/>
        <w:rPr>
          <w:sz w:val="22"/>
          <w:szCs w:val="22"/>
          <w:lang w:val="el-GR"/>
        </w:rPr>
      </w:pPr>
      <w:r>
        <w:rPr>
          <w:sz w:val="22"/>
          <w:szCs w:val="22"/>
          <w:lang w:val="el-GR"/>
        </w:rPr>
        <w:t xml:space="preserve">Ανοίγοντας την εκδήλωση ο συντονιστής κ. </w:t>
      </w:r>
      <w:r>
        <w:rPr>
          <w:b/>
          <w:sz w:val="22"/>
          <w:szCs w:val="22"/>
          <w:lang w:val="el-GR"/>
        </w:rPr>
        <w:t>Γιάννης Διονάτος</w:t>
      </w:r>
      <w:r>
        <w:rPr>
          <w:sz w:val="22"/>
          <w:szCs w:val="22"/>
          <w:lang w:val="el-GR"/>
        </w:rPr>
        <w:t>, εκδότης του Startupper.gr σημείωσε: «</w:t>
      </w:r>
      <w:r>
        <w:rPr>
          <w:i/>
          <w:sz w:val="22"/>
          <w:szCs w:val="22"/>
          <w:lang w:val="el-GR"/>
        </w:rPr>
        <w:t>Με την εκδήλωση αυτή, η Τράπεζα της Ελλάδος και ο Οργανισμός Ανοιχτών Τεχνολογιών (ΕΕΛΛΑΚ) εκπέμπουν ένα ισχυρό στίγμα για την ενεργοποίηση ενός πολυσυμμετοχικού «οικοσυστήματος καινοτομίας», στο οποίο θα μετέχουν φορείς από τη δημόσια διοίκηση, τις επιχειρήσεις, την κοινωνία των πολιτών και τον ακαδημαϊκό χώρο. Το «οικοσύστημα» αυτό θα προάγει την ανάπτυξη νέων εφαρμογών, τη δημιουργία νέων υπηρεσιών ή τη βελτίωση υφιστάμενων, με θετικό αποτύπωμα στην οικονομία, την κοινωνία και το περιβάλλον</w:t>
      </w:r>
      <w:r>
        <w:rPr>
          <w:sz w:val="22"/>
          <w:szCs w:val="22"/>
          <w:lang w:val="el-GR"/>
        </w:rPr>
        <w:t>».</w:t>
      </w:r>
    </w:p>
    <w:p>
      <w:pPr>
        <w:pStyle w:val="Normal"/>
        <w:spacing w:lineRule="auto" w:line="360" w:before="120" w:after="0"/>
        <w:jc w:val="both"/>
        <w:rPr>
          <w:sz w:val="22"/>
          <w:szCs w:val="22"/>
          <w:lang w:val="el-GR"/>
        </w:rPr>
      </w:pPr>
      <w:r>
        <w:rPr>
          <w:sz w:val="22"/>
          <w:szCs w:val="22"/>
          <w:lang w:val="el-GR"/>
        </w:rPr>
        <w:t>H Tράπεζα της Ελλάδος αξιοποιεί τις καινοτόμες δυνατότητες των ανοικτών δεδομένων, καθώς ήδη από το 2018 έχει θέσει σε λειτουργία την Πύλη Ανοικτών Δεδομένων (</w:t>
      </w:r>
      <w:hyperlink r:id="rId5">
        <w:r>
          <w:rPr>
            <w:rStyle w:val="InternetLink"/>
            <w:sz w:val="22"/>
            <w:szCs w:val="22"/>
            <w:lang w:val="el-GR"/>
          </w:rPr>
          <w:t>Open Data Portal</w:t>
        </w:r>
      </w:hyperlink>
      <w:r>
        <w:rPr>
          <w:sz w:val="22"/>
          <w:szCs w:val="22"/>
          <w:lang w:val="el-GR"/>
        </w:rPr>
        <w:t xml:space="preserve">). Μέσω της Πύλης διατίθενται στους ερευνητές και στο ευρύ κοινό στατιστικά σύνολα δεδομένων πιστοποιημένα από το Open Data Institute, σε μορφή που επιτρέπει την άμεση ανάγνωση και επεξεργασία τους από υπολογιστές. Η συλλογή, επεξεργασία και δημοσίευση των Ανοικτών Δεδομένων της Τράπεζας πραγματοποιείται βάσει διεθνών προτύπων για ανοικτά δεδομένα. </w:t>
      </w:r>
    </w:p>
    <w:p>
      <w:pPr>
        <w:pStyle w:val="Normal"/>
        <w:spacing w:lineRule="auto" w:line="360" w:before="120" w:after="0"/>
        <w:jc w:val="both"/>
        <w:rPr>
          <w:sz w:val="22"/>
          <w:szCs w:val="22"/>
          <w:lang w:val="el-GR"/>
        </w:rPr>
      </w:pPr>
      <w:r>
        <w:rPr>
          <w:sz w:val="22"/>
          <w:szCs w:val="22"/>
          <w:lang w:val="el-GR"/>
        </w:rPr>
        <w:t xml:space="preserve">Ο Διοικητής της Τράπεζας της Ελλάδος κ. </w:t>
      </w:r>
      <w:r>
        <w:rPr>
          <w:b/>
          <w:sz w:val="22"/>
          <w:szCs w:val="22"/>
          <w:lang w:val="el-GR"/>
        </w:rPr>
        <w:t>Γιάννης Στουρνάρας,</w:t>
      </w:r>
      <w:r>
        <w:rPr>
          <w:sz w:val="22"/>
          <w:szCs w:val="22"/>
          <w:lang w:val="el-GR"/>
        </w:rPr>
        <w:t xml:space="preserve"> κατά την έναρξη της ημερίδας τόνισε: «</w:t>
      </w:r>
      <w:r>
        <w:rPr>
          <w:i/>
          <w:sz w:val="22"/>
          <w:szCs w:val="22"/>
          <w:lang w:val="el-GR"/>
        </w:rPr>
        <w:t xml:space="preserve">Η λειτουργία της Πύλης καθιστά την ΤτΕ πρωτοπόρο ανάμεσα στις εθνικές κεντρικές τράπεζες στον τομέα των ανοικτών δεδομένων. Συνεχίζοντας στην κατεύθυνση αυτή, πρόθεση της ΤτΕ είναι να διεξάγει διαγωνισμό </w:t>
      </w:r>
      <w:r>
        <w:rPr>
          <w:i/>
          <w:sz w:val="22"/>
          <w:szCs w:val="22"/>
          <w:lang w:val="en-US"/>
        </w:rPr>
        <w:t>D</w:t>
      </w:r>
      <w:r>
        <w:rPr>
          <w:i/>
          <w:sz w:val="22"/>
          <w:szCs w:val="22"/>
          <w:lang w:val="el-GR"/>
        </w:rPr>
        <w:t>atathon το φθινόπωρο του 2022, για την αναζήτηση καινοτόμων λύσεων με τη χρήση ανοικτών δεδομένων</w:t>
      </w:r>
      <w:r>
        <w:rPr>
          <w:sz w:val="22"/>
          <w:szCs w:val="22"/>
          <w:lang w:val="el-GR"/>
        </w:rPr>
        <w:t xml:space="preserve">». </w:t>
      </w:r>
    </w:p>
    <w:p>
      <w:pPr>
        <w:pStyle w:val="Normal"/>
        <w:spacing w:lineRule="auto" w:line="360" w:before="120" w:after="0"/>
        <w:jc w:val="both"/>
        <w:rPr>
          <w:sz w:val="22"/>
          <w:szCs w:val="22"/>
          <w:lang w:val="el-GR"/>
        </w:rPr>
      </w:pPr>
      <w:r>
        <w:rPr>
          <w:sz w:val="22"/>
          <w:szCs w:val="22"/>
          <w:lang w:val="el-GR"/>
        </w:rPr>
        <w:t xml:space="preserve">Στη συνέχεια, ο Υπουργός Επικρατείας και Ψηφιακής Διακυβέρνησης κ. </w:t>
      </w:r>
      <w:r>
        <w:rPr>
          <w:b/>
          <w:sz w:val="22"/>
          <w:szCs w:val="22"/>
          <w:lang w:val="el-GR"/>
        </w:rPr>
        <w:t>Κυριάκος Πιερρακάκης</w:t>
      </w:r>
      <w:r>
        <w:rPr>
          <w:sz w:val="22"/>
          <w:szCs w:val="22"/>
          <w:lang w:val="el-GR"/>
        </w:rPr>
        <w:t xml:space="preserve"> επεσήμανε: «</w:t>
      </w:r>
      <w:r>
        <w:rPr>
          <w:i/>
          <w:sz w:val="22"/>
          <w:szCs w:val="22"/>
          <w:lang w:val="el-GR"/>
        </w:rPr>
        <w:t>Χαιρετίζω τη σημερινή εκδήλωση και θεωρώ ότι είναι μια πολύ σπουδαία πρωτοβουλία, καταρχήν σε συμβολικό επίπεδο, για να αναδειχθεί η μεγάλη αξία που μπορεί να έχουν τα ανοικτά δεδομένα για τη χώρα και την οικονομία. Μέσα από την πύλη ανοικτών δεδομένων της Τράπεζας της Ελλάδος και μέσα από εκείνες του ελληνικού Δημοσίου μπορούμε να διερευνήσουμε ποια στρατηγική θα μας βοηθήσει να «γεννήσουμε» τη μέγιστη δυνατή αξία από τα δεδομένα τα οποία διαθέτουμε ως χώρα, ως πολιτεία</w:t>
      </w:r>
      <w:r>
        <w:rPr>
          <w:sz w:val="22"/>
          <w:szCs w:val="22"/>
          <w:lang w:val="el-GR"/>
        </w:rPr>
        <w:t>».</w:t>
      </w:r>
    </w:p>
    <w:p>
      <w:pPr>
        <w:pStyle w:val="Normal"/>
        <w:spacing w:lineRule="auto" w:line="360" w:before="120" w:after="0"/>
        <w:jc w:val="both"/>
        <w:rPr>
          <w:color w:val="auto"/>
          <w:sz w:val="22"/>
          <w:szCs w:val="22"/>
          <w:lang w:val="el-GR"/>
        </w:rPr>
      </w:pPr>
      <w:r>
        <w:rPr>
          <w:rFonts w:eastAsia="" w:eastAsiaTheme="minorEastAsia"/>
          <w:color w:val="auto"/>
          <w:sz w:val="22"/>
          <w:szCs w:val="22"/>
          <w:lang w:val="el-GR" w:eastAsia="zh-CN"/>
        </w:rPr>
        <w:t xml:space="preserve">Ο Αντιπρόεδρος του Οργανισμού Ανοιχτών Τεχνολογιών, Καθηγητής και Κοσμήτορας στη Σχολή Ηλεκτρολόγων Μηχανικών και Μηχανικών Υπολογιστών του ΕΜΠ και Πρόεδρος της Γνωμοδοτικής Επιτροπής </w:t>
      </w:r>
      <w:r>
        <w:rPr>
          <w:color w:val="000000"/>
          <w:sz w:val="22"/>
          <w:szCs w:val="22"/>
          <w:shd w:fill="FFFFFF" w:val="clear"/>
          <w:lang w:val="el-GR"/>
        </w:rPr>
        <w:t>του Εθνικού Δικτύου Υποδομών Τεχνολογίας και Έρευνας (</w:t>
      </w:r>
      <w:r>
        <w:rPr>
          <w:bCs/>
          <w:color w:val="000000"/>
          <w:sz w:val="22"/>
          <w:szCs w:val="22"/>
          <w:shd w:fill="FFFFFF" w:val="clear"/>
          <w:lang w:val="el-GR"/>
        </w:rPr>
        <w:t>ΕΔΥΤΕ Α</w:t>
      </w:r>
      <w:r>
        <w:rPr>
          <w:color w:val="000000"/>
          <w:sz w:val="22"/>
          <w:szCs w:val="22"/>
          <w:shd w:fill="FFFFFF" w:val="clear"/>
          <w:lang w:val="el-GR"/>
        </w:rPr>
        <w:t>.</w:t>
      </w:r>
      <w:r>
        <w:rPr>
          <w:bCs/>
          <w:color w:val="000000"/>
          <w:sz w:val="22"/>
          <w:szCs w:val="22"/>
          <w:shd w:fill="FFFFFF" w:val="clear"/>
          <w:lang w:val="el-GR"/>
        </w:rPr>
        <w:t>Ε)</w:t>
      </w:r>
      <w:r>
        <w:rPr>
          <w:rFonts w:eastAsia="" w:eastAsiaTheme="minorEastAsia"/>
          <w:color w:val="auto"/>
          <w:sz w:val="22"/>
          <w:szCs w:val="22"/>
          <w:lang w:val="el-GR" w:eastAsia="zh-CN"/>
        </w:rPr>
        <w:t xml:space="preserve"> κ. </w:t>
      </w:r>
      <w:r>
        <w:rPr>
          <w:rFonts w:eastAsia="" w:eastAsiaTheme="minorEastAsia"/>
          <w:b/>
          <w:color w:val="auto"/>
          <w:sz w:val="22"/>
          <w:szCs w:val="22"/>
          <w:lang w:val="el-GR" w:eastAsia="zh-CN"/>
        </w:rPr>
        <w:t>Νεκτάριος Κοζύρης</w:t>
      </w:r>
      <w:r>
        <w:rPr>
          <w:rFonts w:eastAsia="" w:eastAsiaTheme="minorEastAsia"/>
          <w:color w:val="auto"/>
          <w:sz w:val="22"/>
          <w:szCs w:val="22"/>
          <w:lang w:val="el-GR" w:eastAsia="zh-CN"/>
        </w:rPr>
        <w:t xml:space="preserve"> τόνισε:</w:t>
      </w:r>
      <w:r>
        <w:rPr>
          <w:rFonts w:eastAsia="" w:eastAsiaTheme="minorEastAsia"/>
          <w:b/>
          <w:color w:val="auto"/>
          <w:sz w:val="22"/>
          <w:szCs w:val="22"/>
          <w:lang w:val="el-GR" w:eastAsia="zh-CN"/>
        </w:rPr>
        <w:t xml:space="preserve"> </w:t>
      </w:r>
      <w:r>
        <w:rPr>
          <w:rFonts w:eastAsia="" w:eastAsiaTheme="minorEastAsia"/>
          <w:color w:val="auto"/>
          <w:sz w:val="22"/>
          <w:szCs w:val="22"/>
          <w:lang w:val="el-GR" w:eastAsia="zh-CN"/>
        </w:rPr>
        <w:t>«</w:t>
      </w:r>
      <w:r>
        <w:rPr>
          <w:i/>
          <w:color w:val="auto"/>
          <w:sz w:val="22"/>
          <w:szCs w:val="22"/>
          <w:lang w:val="el-GR"/>
        </w:rPr>
        <w:t>Τα ανοιχτά δεδομένα είναι πολλαπλασιαστής για την οικονομία. Όσο περισσότερα δημόσια δεδομένα είναι ανοιχτά, όσο πιο απλή και εύκολη είναι η διασύνδεσή τους, τόσο μεγαλύτερη η ανάπτυξη, η διαφάνεια και η συμμετοχή</w:t>
      </w:r>
      <w:r>
        <w:rPr>
          <w:color w:val="auto"/>
          <w:sz w:val="22"/>
          <w:szCs w:val="22"/>
          <w:lang w:val="el-GR"/>
        </w:rPr>
        <w:t>».</w:t>
      </w:r>
    </w:p>
    <w:p>
      <w:pPr>
        <w:pStyle w:val="Normal"/>
        <w:spacing w:lineRule="auto" w:line="360" w:before="120" w:after="0"/>
        <w:jc w:val="both"/>
        <w:rPr>
          <w:color w:val="FF0000"/>
          <w:sz w:val="22"/>
          <w:szCs w:val="22"/>
          <w:lang w:val="el-GR"/>
        </w:rPr>
      </w:pPr>
      <w:r>
        <w:rPr>
          <w:color w:val="FF0000"/>
          <w:sz w:val="22"/>
          <w:szCs w:val="22"/>
          <w:lang w:val="el-GR"/>
        </w:rPr>
      </w:r>
    </w:p>
    <w:p>
      <w:pPr>
        <w:pStyle w:val="Normal"/>
        <w:spacing w:lineRule="auto" w:line="360" w:before="120" w:after="0"/>
        <w:jc w:val="both"/>
        <w:rPr>
          <w:sz w:val="22"/>
          <w:szCs w:val="22"/>
          <w:lang w:val="el-GR"/>
        </w:rPr>
      </w:pPr>
      <w:r>
        <w:rPr>
          <w:sz w:val="22"/>
          <w:szCs w:val="22"/>
          <w:lang w:val="el-GR"/>
        </w:rPr>
        <w:t>Στην εκδήλωση μίλησαν επίσης οι :</w:t>
      </w:r>
    </w:p>
    <w:p>
      <w:pPr>
        <w:pStyle w:val="ListParagraph"/>
        <w:numPr>
          <w:ilvl w:val="0"/>
          <w:numId w:val="4"/>
        </w:numPr>
        <w:spacing w:lineRule="auto" w:line="360" w:before="120" w:after="0"/>
        <w:contextualSpacing/>
        <w:rPr>
          <w:rFonts w:ascii="Helvetica" w:hAnsi="Helvetica"/>
          <w:color w:val="26282A"/>
          <w:sz w:val="22"/>
          <w:szCs w:val="22"/>
          <w:lang w:val="el-GR"/>
        </w:rPr>
      </w:pPr>
      <w:r>
        <w:rPr>
          <w:rFonts w:eastAsia="" w:eastAsiaTheme="minorEastAsia"/>
          <w:b/>
          <w:sz w:val="22"/>
          <w:szCs w:val="22"/>
          <w:lang w:val="el-GR" w:eastAsia="zh-CN"/>
        </w:rPr>
        <w:t xml:space="preserve">Γιώργος Καραμανώλης </w:t>
      </w:r>
      <w:r>
        <w:rPr>
          <w:rFonts w:eastAsia="" w:eastAsiaTheme="minorEastAsia"/>
          <w:sz w:val="22"/>
          <w:szCs w:val="22"/>
          <w:lang w:val="el-GR" w:eastAsia="zh-CN"/>
        </w:rPr>
        <w:t xml:space="preserve">– Συνιδρυτής και Συντονιστής Τεχνολογίας και Καινοτομίας, </w:t>
      </w:r>
      <w:r>
        <w:rPr>
          <w:rFonts w:eastAsia="" w:eastAsiaTheme="minorEastAsia"/>
          <w:sz w:val="22"/>
          <w:szCs w:val="22"/>
          <w:lang w:eastAsia="zh-CN"/>
        </w:rPr>
        <w:t>Crowdpolicy</w:t>
      </w:r>
      <w:r>
        <w:rPr>
          <w:rFonts w:eastAsia="" w:eastAsiaTheme="minorEastAsia"/>
          <w:sz w:val="22"/>
          <w:szCs w:val="22"/>
          <w:lang w:val="el-GR" w:eastAsia="zh-CN"/>
        </w:rPr>
        <w:t xml:space="preserve"> - Υπεύθυνος Στρατηγικής του Ελληνικού Συνεργατικού Σχηματισμού για την προώθηση του fintech στην Ελλάδα (Greek fintech cluster)</w:t>
      </w:r>
      <w:r>
        <w:rPr>
          <w:color w:val="26282A"/>
          <w:sz w:val="22"/>
          <w:szCs w:val="22"/>
          <w:shd w:fill="FFFFFF" w:val="clear"/>
        </w:rPr>
        <w:t>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 xml:space="preserve">Διομήδης Σπινέλλης – </w:t>
      </w:r>
      <w:r>
        <w:rPr>
          <w:rFonts w:eastAsia="" w:eastAsiaTheme="minorEastAsia"/>
          <w:sz w:val="22"/>
          <w:szCs w:val="22"/>
          <w:lang w:val="el-GR" w:eastAsia="zh-CN"/>
        </w:rPr>
        <w:t xml:space="preserve">Καθηγητής Τεχνολογίας Λογισμικού, Τμήμα Διοικητικής Επιστήμης και Τεχνολογίας, Οικονομικό Πανεπιστήμιο Αθηνών - Μέλος ΔΣ και επίτιμος Πρόεδρος, ΕΕΛΛΑΚ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Μάγκυ Αθανασιάδη</w:t>
      </w:r>
      <w:r>
        <w:rPr>
          <w:rFonts w:eastAsia="" w:eastAsiaTheme="minorEastAsia"/>
          <w:sz w:val="22"/>
          <w:szCs w:val="22"/>
          <w:lang w:val="el-GR" w:eastAsia="zh-CN"/>
        </w:rPr>
        <w:t xml:space="preserve"> – Διευθύντρια Καινοτομίας, ΣΕΒ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 xml:space="preserve">Σπύρος Αθανασίου </w:t>
      </w:r>
      <w:r>
        <w:rPr>
          <w:rFonts w:eastAsia="" w:eastAsiaTheme="minorEastAsia"/>
          <w:sz w:val="22"/>
          <w:szCs w:val="22"/>
          <w:lang w:val="el-GR" w:eastAsia="zh-CN"/>
        </w:rPr>
        <w:t xml:space="preserve">– Επιστημονικός Συνεργάτης, Ινστιτούτο Πληροφοριακών Συστημάτων «Αθηνά» </w:t>
      </w:r>
    </w:p>
    <w:p>
      <w:pPr>
        <w:pStyle w:val="ListParagraph"/>
        <w:numPr>
          <w:ilvl w:val="0"/>
          <w:numId w:val="4"/>
        </w:numPr>
        <w:spacing w:lineRule="auto" w:line="360" w:before="120" w:after="0"/>
        <w:contextualSpacing/>
        <w:rPr>
          <w:rFonts w:eastAsia="" w:eastAsiaTheme="minorEastAsia"/>
          <w:b/>
          <w:b/>
          <w:sz w:val="22"/>
          <w:szCs w:val="22"/>
          <w:lang w:eastAsia="zh-CN"/>
        </w:rPr>
      </w:pPr>
      <w:r>
        <w:rPr>
          <w:rFonts w:eastAsia="" w:eastAsiaTheme="minorEastAsia"/>
          <w:b/>
          <w:sz w:val="22"/>
          <w:szCs w:val="22"/>
          <w:lang w:val="el-GR" w:eastAsia="zh-CN"/>
        </w:rPr>
        <w:t>Μιχάλης</w:t>
      </w:r>
      <w:r>
        <w:rPr>
          <w:rFonts w:eastAsia="" w:eastAsiaTheme="minorEastAsia"/>
          <w:b/>
          <w:sz w:val="22"/>
          <w:szCs w:val="22"/>
          <w:lang w:eastAsia="zh-CN"/>
        </w:rPr>
        <w:t xml:space="preserve"> </w:t>
      </w:r>
      <w:r>
        <w:rPr>
          <w:rFonts w:eastAsia="" w:eastAsiaTheme="minorEastAsia"/>
          <w:b/>
          <w:sz w:val="22"/>
          <w:szCs w:val="22"/>
          <w:lang w:val="el-GR" w:eastAsia="zh-CN"/>
        </w:rPr>
        <w:t>Βαφόπουλος</w:t>
      </w:r>
      <w:r>
        <w:rPr>
          <w:rFonts w:eastAsia="" w:eastAsiaTheme="minorEastAsia"/>
          <w:b/>
          <w:sz w:val="22"/>
          <w:szCs w:val="22"/>
          <w:lang w:eastAsia="zh-CN"/>
        </w:rPr>
        <w:t xml:space="preserve"> </w:t>
      </w:r>
      <w:r>
        <w:rPr>
          <w:rFonts w:eastAsia="" w:eastAsiaTheme="minorEastAsia"/>
          <w:sz w:val="22"/>
          <w:szCs w:val="22"/>
          <w:lang w:eastAsia="zh-CN"/>
        </w:rPr>
        <w:t xml:space="preserve">– </w:t>
      </w:r>
      <w:r>
        <w:rPr>
          <w:rFonts w:eastAsia="" w:eastAsiaTheme="minorEastAsia"/>
          <w:sz w:val="22"/>
          <w:szCs w:val="22"/>
          <w:lang w:val="el-GR" w:eastAsia="zh-CN"/>
        </w:rPr>
        <w:t>Ο</w:t>
      </w:r>
      <w:r>
        <w:rPr>
          <w:rFonts w:eastAsia="" w:eastAsiaTheme="minorEastAsia"/>
          <w:sz w:val="22"/>
          <w:szCs w:val="22"/>
          <w:lang w:eastAsia="zh-CN"/>
        </w:rPr>
        <w:t>pen Dat</w:t>
      </w:r>
      <w:r>
        <w:rPr>
          <w:rFonts w:eastAsia="" w:eastAsiaTheme="minorEastAsia"/>
          <w:sz w:val="22"/>
          <w:szCs w:val="22"/>
          <w:lang w:val="en-US" w:eastAsia="zh-CN"/>
        </w:rPr>
        <w:t>a</w:t>
      </w:r>
      <w:r>
        <w:rPr>
          <w:rFonts w:eastAsia="" w:eastAsiaTheme="minorEastAsia"/>
          <w:sz w:val="22"/>
          <w:szCs w:val="22"/>
          <w:lang w:eastAsia="zh-CN"/>
        </w:rPr>
        <w:t xml:space="preserve"> Institute Athens, </w:t>
      </w:r>
      <w:r>
        <w:rPr>
          <w:rFonts w:eastAsia="" w:eastAsiaTheme="minorEastAsia"/>
          <w:sz w:val="22"/>
          <w:szCs w:val="22"/>
          <w:lang w:val="el-GR" w:eastAsia="zh-CN"/>
        </w:rPr>
        <w:t>ΕΕΛΛΑΚ</w:t>
      </w:r>
      <w:r>
        <w:rPr>
          <w:rFonts w:eastAsia="" w:eastAsiaTheme="minorEastAsia"/>
          <w:sz w:val="22"/>
          <w:szCs w:val="22"/>
          <w:lang w:eastAsia="zh-CN"/>
        </w:rPr>
        <w:t xml:space="preserve">, Linked Business A.E </w:t>
      </w:r>
    </w:p>
    <w:p>
      <w:pPr>
        <w:pStyle w:val="ListParagraph"/>
        <w:numPr>
          <w:ilvl w:val="0"/>
          <w:numId w:val="4"/>
        </w:numPr>
        <w:spacing w:lineRule="auto" w:line="360" w:before="120" w:after="0"/>
        <w:contextualSpacing/>
        <w:rPr>
          <w:rFonts w:eastAsia="" w:eastAsiaTheme="minorEastAsia"/>
          <w:b/>
          <w:b/>
          <w:sz w:val="22"/>
          <w:szCs w:val="22"/>
          <w:lang w:eastAsia="zh-CN"/>
        </w:rPr>
      </w:pPr>
      <w:r>
        <w:rPr>
          <w:rFonts w:eastAsia="" w:eastAsiaTheme="minorEastAsia"/>
          <w:b/>
          <w:sz w:val="22"/>
          <w:szCs w:val="22"/>
          <w:lang w:val="el-GR" w:eastAsia="zh-CN"/>
        </w:rPr>
        <w:t>Απόστολος</w:t>
      </w:r>
      <w:r>
        <w:rPr>
          <w:rFonts w:eastAsia="" w:eastAsiaTheme="minorEastAsia"/>
          <w:b/>
          <w:sz w:val="22"/>
          <w:szCs w:val="22"/>
          <w:lang w:eastAsia="zh-CN"/>
        </w:rPr>
        <w:t xml:space="preserve"> </w:t>
      </w:r>
      <w:r>
        <w:rPr>
          <w:rFonts w:eastAsia="" w:eastAsiaTheme="minorEastAsia"/>
          <w:b/>
          <w:sz w:val="22"/>
          <w:szCs w:val="22"/>
          <w:lang w:val="el-GR" w:eastAsia="zh-CN"/>
        </w:rPr>
        <w:t>Κρητικός</w:t>
      </w:r>
      <w:r>
        <w:rPr>
          <w:rFonts w:eastAsia="" w:eastAsiaTheme="minorEastAsia"/>
          <w:b/>
          <w:sz w:val="22"/>
          <w:szCs w:val="22"/>
          <w:lang w:eastAsia="zh-CN"/>
        </w:rPr>
        <w:t xml:space="preserve"> </w:t>
      </w:r>
      <w:r>
        <w:rPr>
          <w:rFonts w:eastAsia="" w:eastAsiaTheme="minorEastAsia"/>
          <w:sz w:val="22"/>
          <w:szCs w:val="22"/>
          <w:lang w:eastAsia="zh-CN"/>
        </w:rPr>
        <w:t>– Open Data Registered Trainer, Open Data Institute (UK), M</w:t>
      </w:r>
      <w:r>
        <w:rPr>
          <w:rFonts w:eastAsia="" w:eastAsiaTheme="minorEastAsia"/>
          <w:sz w:val="22"/>
          <w:szCs w:val="22"/>
          <w:lang w:val="el-GR" w:eastAsia="zh-CN"/>
        </w:rPr>
        <w:t>έλος</w:t>
      </w:r>
      <w:r>
        <w:rPr>
          <w:rFonts w:eastAsia="" w:eastAsiaTheme="minorEastAsia"/>
          <w:sz w:val="22"/>
          <w:szCs w:val="22"/>
          <w:lang w:eastAsia="zh-CN"/>
        </w:rPr>
        <w:t xml:space="preserve"> </w:t>
      </w:r>
      <w:r>
        <w:rPr>
          <w:rFonts w:eastAsia="" w:eastAsiaTheme="minorEastAsia"/>
          <w:sz w:val="22"/>
          <w:szCs w:val="22"/>
          <w:lang w:val="el-GR" w:eastAsia="zh-CN"/>
        </w:rPr>
        <w:t>του</w:t>
      </w:r>
      <w:r>
        <w:rPr>
          <w:rFonts w:eastAsia="" w:eastAsiaTheme="minorEastAsia"/>
          <w:sz w:val="22"/>
          <w:szCs w:val="22"/>
          <w:lang w:eastAsia="zh-CN"/>
        </w:rPr>
        <w:t xml:space="preserve"> Open Data Institute Athens, </w:t>
      </w:r>
      <w:r>
        <w:rPr>
          <w:rFonts w:eastAsia="" w:eastAsiaTheme="minorEastAsia"/>
          <w:sz w:val="22"/>
          <w:szCs w:val="22"/>
          <w:lang w:val="el-GR" w:eastAsia="zh-CN"/>
        </w:rPr>
        <w:t>ΕΕΛΛΑΚ</w:t>
      </w:r>
      <w:r>
        <w:rPr>
          <w:rFonts w:eastAsia="" w:eastAsiaTheme="minorEastAsia"/>
          <w:sz w:val="22"/>
          <w:szCs w:val="22"/>
          <w:lang w:eastAsia="zh-CN"/>
        </w:rPr>
        <w:t xml:space="preserve">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 xml:space="preserve">Ελένη Μαυροειδή </w:t>
      </w:r>
      <w:r>
        <w:rPr>
          <w:rFonts w:eastAsia="" w:eastAsiaTheme="minorEastAsia"/>
          <w:sz w:val="22"/>
          <w:szCs w:val="22"/>
          <w:lang w:val="el-GR" w:eastAsia="zh-CN"/>
        </w:rPr>
        <w:t xml:space="preserve">– Διευθύντρια Πληροφορικής, Τράπεζα της Ελλάδος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Βάλια Μπάμπη</w:t>
      </w:r>
      <w:r>
        <w:rPr>
          <w:rFonts w:eastAsia="" w:eastAsiaTheme="minorEastAsia"/>
          <w:sz w:val="22"/>
          <w:szCs w:val="22"/>
          <w:lang w:val="el-GR" w:eastAsia="zh-CN"/>
        </w:rPr>
        <w:t xml:space="preserve"> – Σύμβουλος Διοίκησης, Τράπεζας της Ελλάδος </w:t>
      </w:r>
    </w:p>
    <w:p>
      <w:pPr>
        <w:pStyle w:val="ListParagraph"/>
        <w:numPr>
          <w:ilvl w:val="0"/>
          <w:numId w:val="4"/>
        </w:numPr>
        <w:spacing w:lineRule="auto" w:line="360" w:before="120" w:after="0"/>
        <w:contextualSpacing/>
        <w:rPr>
          <w:rFonts w:eastAsia="" w:eastAsiaTheme="minorEastAsia"/>
          <w:sz w:val="22"/>
          <w:szCs w:val="22"/>
          <w:lang w:val="el-GR" w:eastAsia="zh-CN"/>
        </w:rPr>
      </w:pPr>
      <w:r>
        <w:rPr>
          <w:rFonts w:eastAsia="" w:eastAsiaTheme="minorEastAsia"/>
          <w:b/>
          <w:sz w:val="22"/>
          <w:szCs w:val="22"/>
          <w:lang w:val="el-GR" w:eastAsia="zh-CN"/>
        </w:rPr>
        <w:t>Κώστας Σφήκας</w:t>
      </w:r>
      <w:r>
        <w:rPr>
          <w:rFonts w:eastAsia="" w:eastAsiaTheme="minorEastAsia"/>
          <w:sz w:val="22"/>
          <w:szCs w:val="22"/>
          <w:lang w:val="el-GR" w:eastAsia="zh-CN"/>
        </w:rPr>
        <w:t xml:space="preserve"> – Υπουργείο Ψηφιακής Διακυβέρνησης, Γραφείο Γενικού Γραμματέα Ψηφιακής Διακυβέρνησης και Απλούστευσης Διαδικασιών </w:t>
      </w:r>
    </w:p>
    <w:p>
      <w:pPr>
        <w:pStyle w:val="ListParagraph"/>
        <w:numPr>
          <w:ilvl w:val="0"/>
          <w:numId w:val="4"/>
        </w:numPr>
        <w:spacing w:lineRule="auto" w:line="360" w:before="120" w:after="0"/>
        <w:contextualSpacing/>
        <w:jc w:val="both"/>
        <w:rPr>
          <w:sz w:val="22"/>
          <w:szCs w:val="22"/>
          <w:lang w:val="el-GR"/>
        </w:rPr>
      </w:pPr>
      <w:r>
        <w:rPr>
          <w:rFonts w:eastAsia="" w:eastAsiaTheme="minorEastAsia"/>
          <w:b/>
          <w:sz w:val="22"/>
          <w:szCs w:val="22"/>
          <w:lang w:val="el-GR" w:eastAsia="zh-CN"/>
        </w:rPr>
        <w:t xml:space="preserve">Νικόλαος Τσαβέας </w:t>
      </w:r>
      <w:r>
        <w:rPr>
          <w:rFonts w:eastAsia="" w:eastAsiaTheme="minorEastAsia"/>
          <w:sz w:val="22"/>
          <w:szCs w:val="22"/>
          <w:lang w:val="el-GR" w:eastAsia="zh-CN"/>
        </w:rPr>
        <w:t>– Διευθυντής Στατιστικής, Τράπεζα της Ελλάδος</w:t>
      </w:r>
    </w:p>
    <w:p>
      <w:pPr>
        <w:pStyle w:val="Normal"/>
        <w:spacing w:lineRule="auto" w:line="360" w:before="120" w:after="0"/>
        <w:jc w:val="both"/>
        <w:rPr>
          <w:b/>
          <w:b/>
          <w:sz w:val="22"/>
          <w:szCs w:val="22"/>
          <w:u w:val="single"/>
          <w:lang w:val="el-GR"/>
        </w:rPr>
      </w:pPr>
      <w:r>
        <w:rPr>
          <w:b/>
          <w:sz w:val="22"/>
          <w:szCs w:val="22"/>
          <w:u w:val="single"/>
          <w:lang w:val="el-GR"/>
        </w:rPr>
      </w:r>
    </w:p>
    <w:p>
      <w:pPr>
        <w:pStyle w:val="Normal"/>
        <w:spacing w:lineRule="auto" w:line="360" w:before="120" w:after="0"/>
        <w:jc w:val="both"/>
        <w:rPr>
          <w:b/>
          <w:b/>
          <w:sz w:val="22"/>
          <w:szCs w:val="22"/>
          <w:u w:val="single"/>
          <w:lang w:val="el-GR"/>
        </w:rPr>
      </w:pPr>
      <w:r>
        <w:rPr>
          <w:b/>
          <w:sz w:val="22"/>
          <w:szCs w:val="22"/>
          <w:u w:val="single"/>
          <w:lang w:val="el-GR"/>
        </w:rPr>
        <w:t>Περισσότερες πληροφορίες:</w:t>
      </w:r>
    </w:p>
    <w:p>
      <w:pPr>
        <w:pStyle w:val="ListParagraph"/>
        <w:numPr>
          <w:ilvl w:val="0"/>
          <w:numId w:val="3"/>
        </w:numPr>
        <w:spacing w:lineRule="auto" w:line="360" w:before="120" w:after="0"/>
        <w:ind w:left="426" w:hanging="360"/>
        <w:contextualSpacing/>
        <w:jc w:val="both"/>
        <w:rPr>
          <w:sz w:val="22"/>
          <w:szCs w:val="22"/>
          <w:lang w:val="el-GR"/>
        </w:rPr>
      </w:pPr>
      <w:hyperlink r:id="rId6">
        <w:r>
          <w:rPr>
            <w:rStyle w:val="InternetLink"/>
            <w:sz w:val="22"/>
            <w:szCs w:val="22"/>
            <w:lang w:val="el-GR"/>
          </w:rPr>
          <w:t>Ομιλία</w:t>
        </w:r>
      </w:hyperlink>
      <w:r>
        <w:rPr>
          <w:sz w:val="22"/>
          <w:szCs w:val="22"/>
          <w:lang w:val="el-GR"/>
        </w:rPr>
        <w:t xml:space="preserve"> του Διοικητή της Τράπεζας της Ελλάδος Γιάννη Στουρνάρα στην εκδήλωση</w:t>
      </w:r>
    </w:p>
    <w:p>
      <w:pPr>
        <w:pStyle w:val="ListParagraph"/>
        <w:numPr>
          <w:ilvl w:val="0"/>
          <w:numId w:val="3"/>
        </w:numPr>
        <w:spacing w:lineRule="auto" w:line="360" w:before="120" w:after="0"/>
        <w:ind w:left="426" w:hanging="360"/>
        <w:contextualSpacing/>
        <w:jc w:val="both"/>
        <w:rPr>
          <w:sz w:val="22"/>
          <w:szCs w:val="22"/>
          <w:lang w:val="el-GR"/>
        </w:rPr>
      </w:pPr>
      <w:r>
        <w:rPr>
          <w:sz w:val="22"/>
          <w:szCs w:val="22"/>
          <w:lang w:val="el-GR"/>
        </w:rPr>
        <w:t xml:space="preserve">Το </w:t>
      </w:r>
      <w:hyperlink r:id="rId7">
        <w:r>
          <w:rPr>
            <w:rStyle w:val="InternetLink"/>
            <w:sz w:val="22"/>
            <w:szCs w:val="22"/>
            <w:lang w:val="el-GR"/>
          </w:rPr>
          <w:t>βίντεο</w:t>
        </w:r>
      </w:hyperlink>
      <w:r>
        <w:rPr>
          <w:sz w:val="22"/>
          <w:szCs w:val="22"/>
          <w:lang w:val="el-GR"/>
        </w:rPr>
        <w:t xml:space="preserve"> της εκδήλωσης </w:t>
      </w:r>
    </w:p>
    <w:p>
      <w:pPr>
        <w:pStyle w:val="ListParagraph"/>
        <w:numPr>
          <w:ilvl w:val="0"/>
          <w:numId w:val="3"/>
        </w:numPr>
        <w:spacing w:lineRule="auto" w:line="360" w:before="120" w:after="0"/>
        <w:ind w:left="426" w:hanging="360"/>
        <w:contextualSpacing/>
        <w:jc w:val="both"/>
        <w:rPr>
          <w:sz w:val="22"/>
          <w:szCs w:val="22"/>
          <w:lang w:val="el-GR"/>
        </w:rPr>
      </w:pPr>
      <w:r>
        <w:rPr>
          <w:sz w:val="22"/>
          <w:szCs w:val="22"/>
          <w:lang w:val="el-GR"/>
        </w:rPr>
        <w:t>Βίντεο με στιγμιότυπα από την εκδήλωση (</w:t>
      </w:r>
      <w:hyperlink r:id="rId8">
        <w:r>
          <w:rPr>
            <w:rStyle w:val="InternetLink"/>
            <w:sz w:val="22"/>
            <w:szCs w:val="22"/>
            <w:lang w:val="el-GR"/>
          </w:rPr>
          <w:t>YouTube</w:t>
        </w:r>
      </w:hyperlink>
      <w:r>
        <w:rPr>
          <w:sz w:val="22"/>
          <w:szCs w:val="22"/>
          <w:lang w:val="el-GR"/>
        </w:rPr>
        <w:t>)</w:t>
      </w:r>
    </w:p>
    <w:p>
      <w:pPr>
        <w:pStyle w:val="ListParagraph"/>
        <w:numPr>
          <w:ilvl w:val="0"/>
          <w:numId w:val="3"/>
        </w:numPr>
        <w:spacing w:lineRule="auto" w:line="360" w:before="120" w:after="0"/>
        <w:ind w:left="426" w:hanging="360"/>
        <w:contextualSpacing/>
        <w:jc w:val="both"/>
        <w:rPr>
          <w:sz w:val="22"/>
          <w:szCs w:val="22"/>
          <w:lang w:val="el-GR"/>
        </w:rPr>
      </w:pPr>
      <w:r>
        <w:rPr>
          <w:sz w:val="22"/>
          <w:szCs w:val="22"/>
          <w:lang w:val="el-GR"/>
        </w:rPr>
        <w:t>Φωτογραφίες από την εκδήλωση (</w:t>
      </w:r>
      <w:hyperlink r:id="rId9">
        <w:r>
          <w:rPr>
            <w:rStyle w:val="InternetLink"/>
            <w:sz w:val="22"/>
            <w:szCs w:val="22"/>
            <w:lang w:val="el-GR"/>
          </w:rPr>
          <w:t>1</w:t>
        </w:r>
      </w:hyperlink>
      <w:r>
        <w:rPr>
          <w:sz w:val="22"/>
          <w:szCs w:val="22"/>
          <w:lang w:val="el-GR"/>
        </w:rPr>
        <w:t xml:space="preserve">, </w:t>
      </w:r>
      <w:hyperlink r:id="rId10">
        <w:r>
          <w:rPr>
            <w:rStyle w:val="InternetLink"/>
            <w:sz w:val="22"/>
            <w:szCs w:val="22"/>
            <w:lang w:val="el-GR"/>
          </w:rPr>
          <w:t>2</w:t>
        </w:r>
      </w:hyperlink>
      <w:r>
        <w:rPr>
          <w:sz w:val="22"/>
          <w:szCs w:val="22"/>
          <w:lang w:val="el-GR"/>
        </w:rPr>
        <w:t xml:space="preserve">, </w:t>
      </w:r>
      <w:hyperlink r:id="rId11">
        <w:r>
          <w:rPr>
            <w:rStyle w:val="InternetLink"/>
            <w:sz w:val="22"/>
            <w:szCs w:val="22"/>
            <w:lang w:val="el-GR"/>
          </w:rPr>
          <w:t>3</w:t>
        </w:r>
      </w:hyperlink>
      <w:r>
        <w:rPr>
          <w:sz w:val="22"/>
          <w:szCs w:val="22"/>
          <w:lang w:val="el-GR"/>
        </w:rPr>
        <w:t>)</w:t>
      </w:r>
    </w:p>
    <w:p>
      <w:pPr>
        <w:pStyle w:val="ListParagraph"/>
        <w:numPr>
          <w:ilvl w:val="0"/>
          <w:numId w:val="3"/>
        </w:numPr>
        <w:spacing w:lineRule="auto" w:line="360" w:before="120" w:after="0"/>
        <w:ind w:left="426" w:hanging="360"/>
        <w:contextualSpacing/>
        <w:jc w:val="both"/>
        <w:rPr>
          <w:sz w:val="22"/>
          <w:szCs w:val="22"/>
          <w:lang w:val="el-GR"/>
        </w:rPr>
      </w:pPr>
      <w:hyperlink r:id="rId12">
        <w:r>
          <w:rPr>
            <w:rStyle w:val="InternetLink"/>
            <w:sz w:val="22"/>
            <w:szCs w:val="22"/>
            <w:lang w:val="el-GR"/>
          </w:rPr>
          <w:t>Λογότυπο</w:t>
        </w:r>
      </w:hyperlink>
      <w:r>
        <w:rPr>
          <w:sz w:val="22"/>
          <w:szCs w:val="22"/>
          <w:lang w:val="el-GR"/>
        </w:rPr>
        <w:t xml:space="preserve"> Πύλης Ανοικτών Δεδομένων</w:t>
      </w:r>
    </w:p>
    <w:p>
      <w:pPr>
        <w:pStyle w:val="Normal"/>
        <w:spacing w:lineRule="auto" w:line="360" w:before="120" w:after="0"/>
        <w:jc w:val="both"/>
        <w:rPr>
          <w:b/>
          <w:b/>
          <w:sz w:val="22"/>
          <w:szCs w:val="22"/>
          <w:u w:val="single"/>
          <w:lang w:val="el-GR"/>
        </w:rPr>
      </w:pPr>
      <w:r>
        <w:rPr>
          <w:b/>
          <w:sz w:val="22"/>
          <w:szCs w:val="22"/>
          <w:u w:val="single"/>
          <w:lang w:val="el-GR"/>
        </w:rPr>
        <w:t>Σχετικός σύνδεσμος:</w:t>
      </w:r>
    </w:p>
    <w:p>
      <w:pPr>
        <w:pStyle w:val="ListParagraph"/>
        <w:numPr>
          <w:ilvl w:val="0"/>
          <w:numId w:val="2"/>
        </w:numPr>
        <w:spacing w:lineRule="auto" w:line="360" w:before="120" w:after="0"/>
        <w:contextualSpacing/>
        <w:jc w:val="both"/>
        <w:rPr>
          <w:sz w:val="22"/>
          <w:szCs w:val="22"/>
          <w:lang w:val="el-GR"/>
        </w:rPr>
      </w:pPr>
      <w:r>
        <w:rPr>
          <w:sz w:val="22"/>
          <w:szCs w:val="22"/>
          <w:lang w:val="el-GR"/>
        </w:rPr>
        <w:t xml:space="preserve">Δείτε περισσότερα στο </w:t>
      </w:r>
      <w:hyperlink r:id="rId13">
        <w:r>
          <w:rPr>
            <w:rStyle w:val="InternetLink"/>
            <w:sz w:val="22"/>
            <w:szCs w:val="22"/>
            <w:lang w:val="en-US"/>
          </w:rPr>
          <w:t>microsite</w:t>
        </w:r>
      </w:hyperlink>
      <w:r>
        <w:rPr>
          <w:sz w:val="22"/>
          <w:szCs w:val="22"/>
          <w:lang w:val="el-GR"/>
        </w:rPr>
        <w:t xml:space="preserve"> της διαδικτυακής ημερίδας</w:t>
      </w:r>
    </w:p>
    <w:p>
      <w:pPr>
        <w:pStyle w:val="Normal"/>
        <w:spacing w:lineRule="auto" w:line="360" w:before="120" w:after="0"/>
        <w:jc w:val="both"/>
        <w:rPr>
          <w:sz w:val="22"/>
          <w:szCs w:val="22"/>
          <w:lang w:val="el-GR"/>
        </w:rPr>
      </w:pPr>
      <w:r>
        <w:rPr>
          <w:sz w:val="22"/>
          <w:szCs w:val="22"/>
          <w:lang w:val="el-GR"/>
        </w:rPr>
      </w:r>
    </w:p>
    <w:p>
      <w:pPr>
        <w:pStyle w:val="Normal"/>
        <w:spacing w:lineRule="auto" w:line="360" w:before="120" w:after="0"/>
        <w:jc w:val="both"/>
        <w:rPr>
          <w:sz w:val="22"/>
          <w:szCs w:val="22"/>
          <w:lang w:val="el-GR"/>
        </w:rPr>
      </w:pPr>
      <w:r>
        <w:rPr/>
      </w:r>
    </w:p>
    <w:sectPr>
      <w:footerReference w:type="default" r:id="rId14"/>
      <w:type w:val="nextPage"/>
      <w:pgSz w:w="11906" w:h="16838"/>
      <w:pgMar w:left="1418" w:right="1418" w:header="0" w:top="1276" w:footer="247" w:bottom="12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Black">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2288" w:leader="none"/>
      </w:tabs>
      <w:spacing w:lineRule="auto" w:line="360"/>
      <w:ind w:right="360" w:hanging="0"/>
      <w:rPr>
        <w:sz w:val="14"/>
        <w:lang w:val="el-GR"/>
      </w:rPr>
    </w:pPr>
    <w:r>
      <w:rPr>
        <w:sz w:val="20"/>
      </w:rPr>
      <w:tab/>
    </w:r>
  </w:p>
  <w:tbl>
    <w:tblPr>
      <w:tblW w:w="9498" w:type="dxa"/>
      <w:jc w:val="left"/>
      <w:tblInd w:w="108" w:type="dxa"/>
      <w:tblCellMar>
        <w:top w:w="0" w:type="dxa"/>
        <w:left w:w="108" w:type="dxa"/>
        <w:bottom w:w="0" w:type="dxa"/>
        <w:right w:w="108" w:type="dxa"/>
      </w:tblCellMar>
      <w:tblLook w:val="0000" w:noHBand="0" w:noVBand="0" w:firstColumn="0" w:lastRow="0" w:lastColumn="0" w:firstRow="0"/>
    </w:tblPr>
    <w:tblGrid>
      <w:gridCol w:w="4917"/>
      <w:gridCol w:w="4580"/>
    </w:tblGrid>
    <w:tr>
      <w:trPr/>
      <w:tc>
        <w:tcPr>
          <w:tcW w:w="4917" w:type="dxa"/>
          <w:tcBorders>
            <w:left w:val="single" w:sz="48" w:space="0" w:color="BC9E6E"/>
          </w:tcBorders>
          <w:shd w:color="auto" w:fill="auto" w:val="clear"/>
        </w:tcPr>
        <w:p>
          <w:pPr>
            <w:pStyle w:val="Footer"/>
            <w:tabs>
              <w:tab w:val="center" w:pos="4153" w:leader="none"/>
              <w:tab w:val="left" w:pos="5220" w:leader="none"/>
              <w:tab w:val="right" w:pos="8306" w:leader="none"/>
            </w:tabs>
            <w:spacing w:before="60" w:after="60"/>
            <w:ind w:firstLine="176"/>
            <w:rPr>
              <w:rFonts w:ascii="Arial" w:hAnsi="Arial" w:cs="Arial"/>
              <w:sz w:val="14"/>
              <w:lang w:val="el-GR"/>
            </w:rPr>
          </w:pPr>
          <w:r>
            <mc:AlternateContent>
              <mc:Choice Requires="wps">
                <w:drawing>
                  <wp:anchor behindDoc="1" distT="0" distB="0" distL="0" distR="0" simplePos="0" locked="0" layoutInCell="1" allowOverlap="1" relativeHeight="4">
                    <wp:simplePos x="0" y="0"/>
                    <wp:positionH relativeFrom="column">
                      <wp:posOffset>6862445</wp:posOffset>
                    </wp:positionH>
                    <wp:positionV relativeFrom="paragraph">
                      <wp:posOffset>191135</wp:posOffset>
                    </wp:positionV>
                    <wp:extent cx="15875" cy="174625"/>
                    <wp:effectExtent l="0" t="0" r="0" b="0"/>
                    <wp:wrapSquare wrapText="largest"/>
                    <wp:docPr id="3" name="Frame1"/>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fillRef idx="0"/>
                            <a:effectRef idx="0"/>
                            <a:fontRef idx="minor"/>
                          </wps:style>
                          <wps:txbx>
                            <w:txbxContent>
                              <w:p>
                                <w:pPr>
                                  <w:pStyle w:val="Footer"/>
                                  <w:rPr>
                                    <w:rFonts w:ascii="Arial" w:hAnsi="Arial" w:cs="Arial"/>
                                  </w:rPr>
                                </w:pPr>
                                <w:r>
                                  <w:rPr>
                                    <w:rFonts w:cs="Arial" w:ascii="Arial" w:hAnsi="Arial"/>
                                    <w:color w:val="000000"/>
                                  </w:rPr>
                                </w:r>
                              </w:p>
                            </w:txbxContent>
                          </wps:txbx>
                          <wps:bodyPr lIns="0" rIns="0" tIns="0" bIns="0">
                            <a:spAutoFit/>
                          </wps:bodyPr>
                        </wps:wsp>
                      </a:graphicData>
                    </a:graphic>
                  </wp:anchor>
                </w:drawing>
              </mc:Choice>
              <mc:Fallback>
                <w:pict>
                  <v:rect id="shape_0" ID="Frame1" stroked="f" style="position:absolute;margin-left:540.35pt;margin-top:15.05pt;width:1.15pt;height:13.65pt">
                    <w10:wrap type="none"/>
                    <v:fill o:detectmouseclick="t" on="false"/>
                    <v:stroke color="#3465a4" joinstyle="round" endcap="flat"/>
                    <v:textbox>
                      <w:txbxContent>
                        <w:p>
                          <w:pPr>
                            <w:pStyle w:val="Footer"/>
                            <w:rPr>
                              <w:rFonts w:ascii="Arial" w:hAnsi="Arial" w:cs="Arial"/>
                            </w:rPr>
                          </w:pPr>
                          <w:r>
                            <w:rPr>
                              <w:rFonts w:cs="Arial" w:ascii="Arial" w:hAnsi="Arial"/>
                              <w:color w:val="000000"/>
                            </w:rPr>
                          </w:r>
                        </w:p>
                      </w:txbxContent>
                    </v:textbox>
                  </v:rect>
                </w:pict>
              </mc:Fallback>
            </mc:AlternateContent>
          </w:r>
          <w:r>
            <w:rPr>
              <w:rFonts w:cs="Arial" w:ascii="Arial" w:hAnsi="Arial"/>
              <w:sz w:val="14"/>
              <w:lang w:val="el-GR"/>
            </w:rPr>
            <w:t>Ελ. Βενιζέλου 21, Αθήνα 10250</w:t>
          </w:r>
        </w:p>
        <w:p>
          <w:pPr>
            <w:pStyle w:val="Footer"/>
            <w:tabs>
              <w:tab w:val="center" w:pos="4153" w:leader="none"/>
              <w:tab w:val="left" w:pos="5220" w:leader="none"/>
              <w:tab w:val="right" w:pos="8306" w:leader="none"/>
            </w:tabs>
            <w:spacing w:before="60" w:after="60"/>
            <w:ind w:firstLine="176"/>
            <w:rPr>
              <w:rFonts w:ascii="Arial" w:hAnsi="Arial" w:cs="Arial"/>
              <w:sz w:val="14"/>
              <w:lang w:val="el-GR"/>
            </w:rPr>
          </w:pPr>
          <w:r>
            <w:rPr>
              <w:rFonts w:cs="Arial" w:ascii="Arial" w:hAnsi="Arial"/>
              <w:sz w:val="14"/>
              <w:lang w:val="el-GR"/>
            </w:rPr>
            <w:t>Τηλ: 210 320 3446-8</w:t>
          </w:r>
        </w:p>
        <w:p>
          <w:pPr>
            <w:pStyle w:val="Footer"/>
            <w:tabs>
              <w:tab w:val="center" w:pos="4153" w:leader="none"/>
              <w:tab w:val="left" w:pos="5220" w:leader="none"/>
              <w:tab w:val="right" w:pos="8306" w:leader="none"/>
            </w:tabs>
            <w:spacing w:before="60" w:after="60"/>
            <w:ind w:firstLine="176"/>
            <w:rPr>
              <w:rFonts w:ascii="Arial" w:hAnsi="Arial" w:cs="Arial"/>
              <w:sz w:val="14"/>
              <w:lang w:val="el-GR"/>
            </w:rPr>
          </w:pPr>
          <w:hyperlink r:id="rId1">
            <w:r>
              <w:rPr>
                <w:rStyle w:val="InternetLink"/>
                <w:rFonts w:cs="Arial" w:ascii="Arial" w:hAnsi="Arial"/>
                <w:sz w:val="14"/>
                <w:lang w:val="en-US"/>
              </w:rPr>
              <w:t>press</w:t>
            </w:r>
            <w:r>
              <w:rPr>
                <w:rStyle w:val="InternetLink"/>
                <w:rFonts w:cs="Arial" w:ascii="Arial" w:hAnsi="Arial"/>
                <w:sz w:val="14"/>
                <w:lang w:val="el-GR"/>
              </w:rPr>
              <w:t>@</w:t>
            </w:r>
            <w:r>
              <w:rPr>
                <w:rStyle w:val="InternetLink"/>
                <w:rFonts w:cs="Arial" w:ascii="Arial" w:hAnsi="Arial"/>
                <w:sz w:val="14"/>
                <w:lang w:val="en-US"/>
              </w:rPr>
              <w:t>bankofgreece</w:t>
            </w:r>
            <w:r>
              <w:rPr>
                <w:rStyle w:val="InternetLink"/>
                <w:rFonts w:cs="Arial" w:ascii="Arial" w:hAnsi="Arial"/>
                <w:sz w:val="14"/>
                <w:lang w:val="el-GR"/>
              </w:rPr>
              <w:t>.</w:t>
            </w:r>
            <w:r>
              <w:rPr>
                <w:rStyle w:val="InternetLink"/>
                <w:rFonts w:cs="Arial" w:ascii="Arial" w:hAnsi="Arial"/>
                <w:sz w:val="14"/>
                <w:lang w:val="en-US"/>
              </w:rPr>
              <w:t>gr</w:t>
            </w:r>
          </w:hyperlink>
          <w:r>
            <w:rPr>
              <w:rFonts w:cs="Arial" w:ascii="Arial" w:hAnsi="Arial"/>
              <w:sz w:val="14"/>
              <w:lang w:val="el-GR"/>
            </w:rPr>
            <w:t xml:space="preserve"> |  </w:t>
          </w:r>
          <w:hyperlink r:id="rId2">
            <w:r>
              <w:rPr>
                <w:rStyle w:val="InternetLink"/>
                <w:rFonts w:cs="Arial" w:ascii="Arial" w:hAnsi="Arial"/>
                <w:sz w:val="14"/>
                <w:lang w:val="en-US"/>
              </w:rPr>
              <w:t>www</w:t>
            </w:r>
            <w:r>
              <w:rPr>
                <w:rStyle w:val="InternetLink"/>
                <w:rFonts w:cs="Arial" w:ascii="Arial" w:hAnsi="Arial"/>
                <w:sz w:val="14"/>
                <w:lang w:val="el-GR"/>
              </w:rPr>
              <w:t>.</w:t>
            </w:r>
            <w:r>
              <w:rPr>
                <w:rStyle w:val="InternetLink"/>
                <w:rFonts w:cs="Arial" w:ascii="Arial" w:hAnsi="Arial"/>
                <w:sz w:val="14"/>
                <w:lang w:val="en-US"/>
              </w:rPr>
              <w:t>bankofgreece</w:t>
            </w:r>
            <w:r>
              <w:rPr>
                <w:rStyle w:val="InternetLink"/>
                <w:rFonts w:cs="Arial" w:ascii="Arial" w:hAnsi="Arial"/>
                <w:sz w:val="14"/>
                <w:lang w:val="el-GR"/>
              </w:rPr>
              <w:t>.</w:t>
            </w:r>
            <w:r>
              <w:rPr>
                <w:rStyle w:val="InternetLink"/>
                <w:rFonts w:cs="Arial" w:ascii="Arial" w:hAnsi="Arial"/>
                <w:sz w:val="14"/>
                <w:lang w:val="en-US"/>
              </w:rPr>
              <w:t>gr</w:t>
            </w:r>
          </w:hyperlink>
          <w:r>
            <w:rPr>
              <w:rFonts w:cs="Arial" w:ascii="Arial" w:hAnsi="Arial"/>
              <w:sz w:val="14"/>
              <w:lang w:val="el-GR"/>
            </w:rPr>
            <w:t xml:space="preserve"> </w:t>
          </w:r>
        </w:p>
      </w:tc>
      <w:tc>
        <w:tcPr>
          <w:tcW w:w="4580" w:type="dxa"/>
          <w:tcBorders/>
          <w:shd w:color="auto" w:fill="auto" w:val="clear"/>
        </w:tcPr>
        <w:p>
          <w:pPr>
            <w:pStyle w:val="Footer"/>
            <w:tabs>
              <w:tab w:val="center" w:pos="4153" w:leader="none"/>
              <w:tab w:val="left" w:pos="5220" w:leader="none"/>
              <w:tab w:val="right" w:pos="8306" w:leader="none"/>
            </w:tabs>
            <w:spacing w:before="60" w:after="60"/>
            <w:jc w:val="right"/>
            <w:rPr>
              <w:rFonts w:ascii="Arial" w:hAnsi="Arial" w:cs="Arial"/>
              <w:color w:val="auto"/>
              <w:sz w:val="14"/>
              <w:lang w:val="el-GR"/>
            </w:rPr>
          </w:pPr>
          <w:r>
            <w:rPr>
              <w:rFonts w:cs="Arial" w:ascii="Arial" w:hAnsi="Arial"/>
              <w:color w:val="auto"/>
              <w:sz w:val="18"/>
              <w:lang w:val="en-US"/>
            </w:rPr>
            <w:fldChar w:fldCharType="begin"/>
          </w:r>
          <w:r>
            <w:rPr>
              <w:sz w:val="18"/>
              <w:rFonts w:cs="Arial" w:ascii="Arial" w:hAnsi="Arial"/>
              <w:color w:val="auto"/>
              <w:lang w:val="en-US"/>
            </w:rPr>
            <w:instrText> PAGE </w:instrText>
          </w:r>
          <w:r>
            <w:rPr>
              <w:sz w:val="18"/>
              <w:rFonts w:cs="Arial" w:ascii="Arial" w:hAnsi="Arial"/>
              <w:color w:val="auto"/>
              <w:lang w:val="en-US"/>
            </w:rPr>
            <w:fldChar w:fldCharType="separate"/>
          </w:r>
          <w:r>
            <w:rPr>
              <w:sz w:val="18"/>
              <w:rFonts w:cs="Arial" w:ascii="Arial" w:hAnsi="Arial"/>
              <w:color w:val="auto"/>
              <w:lang w:val="en-US"/>
            </w:rPr>
            <w:t>3</w:t>
          </w:r>
          <w:r>
            <w:rPr>
              <w:sz w:val="18"/>
              <w:rFonts w:cs="Arial" w:ascii="Arial" w:hAnsi="Arial"/>
              <w:color w:val="auto"/>
              <w:lang w:val="en-US"/>
            </w:rPr>
            <w:fldChar w:fldCharType="end"/>
          </w:r>
          <w:r>
            <w:rPr>
              <w:rFonts w:cs="Arial" w:ascii="Arial" w:hAnsi="Arial"/>
              <w:color w:val="auto"/>
              <w:sz w:val="18"/>
              <w:lang w:val="el-GR"/>
            </w:rPr>
            <w:t xml:space="preserve"> </w:t>
          </w:r>
          <w:r>
            <w:rPr>
              <w:rFonts w:cs="Arial" w:ascii="Arial Black" w:hAnsi="Arial Black"/>
              <w:b/>
              <w:color w:val="948A54"/>
              <w:sz w:val="22"/>
              <w:lang w:val="el-GR"/>
            </w:rPr>
            <w:t>|</w:t>
          </w:r>
        </w:p>
      </w:tc>
    </w:tr>
  </w:tbl>
  <w:p>
    <w:pPr>
      <w:pStyle w:val="Footer"/>
      <w:ind w:right="360" w:hanging="0"/>
      <w:rPr>
        <w:lang w:val="de-DE"/>
      </w:rPr>
    </w:pPr>
    <w:r>
      <w:rPr>
        <w:lang w:val="de-DE"/>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000000"/>
      <w:kern w:val="0"/>
      <w:sz w:val="24"/>
      <w:szCs w:val="20"/>
      <w:lang w:val="en-AU" w:eastAsia="el-GR" w:bidi="ar-SA"/>
    </w:rPr>
  </w:style>
  <w:style w:type="paragraph" w:styleId="Heading1">
    <w:name w:val="Heading 1"/>
    <w:basedOn w:val="Normal"/>
    <w:next w:val="Normal"/>
    <w:qFormat/>
    <w:pPr>
      <w:keepNext w:val="true"/>
      <w:spacing w:lineRule="auto" w:line="360"/>
      <w:ind w:firstLine="720"/>
      <w:jc w:val="both"/>
      <w:outlineLvl w:val="0"/>
    </w:pPr>
    <w:rPr>
      <w:i/>
      <w:sz w:val="22"/>
      <w:u w:val="single"/>
      <w:lang w:val="el-GR"/>
    </w:rPr>
  </w:style>
  <w:style w:type="paragraph" w:styleId="Heading3">
    <w:name w:val="Heading 3"/>
    <w:basedOn w:val="Normal"/>
    <w:next w:val="Normal"/>
    <w:link w:val="Heading3Char"/>
    <w:uiPriority w:val="9"/>
    <w:semiHidden/>
    <w:unhideWhenUsed/>
    <w:qFormat/>
    <w:rsid w:val="008b0d55"/>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Cs w:val="24"/>
    </w:rPr>
  </w:style>
  <w:style w:type="paragraph" w:styleId="Heading6">
    <w:name w:val="Heading 6"/>
    <w:basedOn w:val="Normal"/>
    <w:next w:val="Normal"/>
    <w:qFormat/>
    <w:pPr>
      <w:keepNext w:val="true"/>
      <w:spacing w:lineRule="auto" w:line="360"/>
      <w:ind w:left="851" w:right="340" w:hanging="0"/>
      <w:jc w:val="both"/>
      <w:outlineLvl w:val="5"/>
    </w:pPr>
    <w:rPr>
      <w:i/>
      <w:sz w:val="20"/>
      <w:lang w:val="el-G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Emphasis">
    <w:name w:val="Emphasis"/>
    <w:uiPriority w:val="20"/>
    <w:qFormat/>
    <w:rPr>
      <w:i/>
      <w:iCs w:val="false"/>
    </w:rPr>
  </w:style>
  <w:style w:type="character" w:styleId="CommentSubjectChar" w:customStyle="1">
    <w:name w:val="Comment Subject Char"/>
    <w:qFormat/>
    <w:rPr>
      <w:rFonts w:ascii="Arial" w:hAnsi="Arial"/>
      <w:b/>
      <w:bCs w:val="false"/>
      <w:lang w:val="en-AU"/>
    </w:rPr>
  </w:style>
  <w:style w:type="character" w:styleId="Bogbodytext1" w:customStyle="1">
    <w:name w:val="bog-bodytext1"/>
    <w:qFormat/>
    <w:rPr>
      <w:rFonts w:ascii="Tahoma" w:hAnsi="Tahoma" w:cs="Tahoma"/>
      <w:color w:val="000000"/>
      <w:sz w:val="18"/>
      <w:szCs w:val="18"/>
    </w:rPr>
  </w:style>
  <w:style w:type="character" w:styleId="HeaderChar" w:customStyle="1">
    <w:name w:val="Header Char"/>
    <w:qFormat/>
    <w:rPr>
      <w:rFonts w:ascii="Arial" w:hAnsi="Arial"/>
      <w:sz w:val="24"/>
      <w:lang w:val="en-AU"/>
    </w:rPr>
  </w:style>
  <w:style w:type="character" w:styleId="BodyTextChar" w:customStyle="1">
    <w:name w:val="Body Text Char"/>
    <w:qFormat/>
    <w:rPr>
      <w:sz w:val="24"/>
      <w:lang w:val="el-GR" w:eastAsia="el-GR" w:bidi="ar-SA"/>
    </w:rPr>
  </w:style>
  <w:style w:type="character" w:styleId="Annotationreference">
    <w:name w:val="annotation reference"/>
    <w:qFormat/>
    <w:rPr>
      <w:sz w:val="16"/>
      <w:szCs w:val="16"/>
    </w:rPr>
  </w:style>
  <w:style w:type="character" w:styleId="FootnoteTextChar" w:customStyle="1">
    <w:name w:val="Footnote Text Char"/>
    <w:qFormat/>
    <w:rPr>
      <w:lang w:eastAsia="en-US"/>
    </w:rPr>
  </w:style>
  <w:style w:type="character" w:styleId="BalloonTextChar" w:customStyle="1">
    <w:name w:val="Balloon Text Char"/>
    <w:qFormat/>
    <w:rPr>
      <w:rFonts w:ascii="Tahoma" w:hAnsi="Tahoma" w:cs="Tahoma"/>
      <w:sz w:val="16"/>
      <w:szCs w:val="16"/>
      <w:lang w:val="en-AU"/>
    </w:rPr>
  </w:style>
  <w:style w:type="character" w:styleId="Bogbodytext" w:customStyle="1">
    <w:name w:val="bog-bodytext"/>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CommentTextChar" w:customStyle="1">
    <w:name w:val="Comment Text Char"/>
    <w:qFormat/>
    <w:rPr>
      <w:rFonts w:ascii="Arial" w:hAnsi="Arial"/>
      <w:lang w:val="en-AU"/>
    </w:rPr>
  </w:style>
  <w:style w:type="character" w:styleId="Appleconvertedspace" w:customStyle="1">
    <w:name w:val="apple-converted-space"/>
    <w:basedOn w:val="DefaultParagraphFont"/>
    <w:qFormat/>
    <w:rPr/>
  </w:style>
  <w:style w:type="character" w:styleId="EndnoteTextChar" w:customStyle="1">
    <w:name w:val="Endnote Text Char"/>
    <w:qFormat/>
    <w:rPr>
      <w:rFonts w:ascii="Arial" w:hAnsi="Arial"/>
      <w:lang w:val="en-AU" w:eastAsia="el-GR"/>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InternetLink">
    <w:name w:val="Hyperlink"/>
    <w:uiPriority w:val="99"/>
    <w:unhideWhenUsed/>
    <w:rsid w:val="00c711d6"/>
    <w:rPr>
      <w:color w:val="0000FF"/>
      <w:u w:val="single"/>
    </w:rPr>
  </w:style>
  <w:style w:type="character" w:styleId="FooterChar" w:customStyle="1">
    <w:name w:val="Footer Char"/>
    <w:link w:val="Footer"/>
    <w:uiPriority w:val="99"/>
    <w:qFormat/>
    <w:rsid w:val="00766a4f"/>
    <w:rPr>
      <w:color w:val="000000"/>
      <w:sz w:val="24"/>
      <w:lang w:val="en-GB"/>
    </w:rPr>
  </w:style>
  <w:style w:type="character" w:styleId="VisitedInternetLink">
    <w:name w:val="FollowedHyperlink"/>
    <w:basedOn w:val="DefaultParagraphFont"/>
    <w:uiPriority w:val="99"/>
    <w:semiHidden/>
    <w:unhideWhenUsed/>
    <w:rsid w:val="00d26abd"/>
    <w:rPr>
      <w:color w:val="800080" w:themeColor="followedHyperlink"/>
      <w:u w:val="single"/>
    </w:rPr>
  </w:style>
  <w:style w:type="character" w:styleId="Heading3Char" w:customStyle="1">
    <w:name w:val="Heading 3 Char"/>
    <w:basedOn w:val="DefaultParagraphFont"/>
    <w:link w:val="Heading3"/>
    <w:uiPriority w:val="9"/>
    <w:semiHidden/>
    <w:qFormat/>
    <w:rsid w:val="008b0d55"/>
    <w:rPr>
      <w:rFonts w:ascii="Cambria" w:hAnsi="Cambria" w:eastAsia="" w:cs="" w:asciiTheme="majorHAnsi" w:cstheme="majorBidi" w:eastAsiaTheme="majorEastAsia" w:hAnsiTheme="majorHAnsi"/>
      <w:color w:val="243F60" w:themeColor="accent1" w:themeShade="7f"/>
      <w:sz w:val="24"/>
      <w:szCs w:val="24"/>
      <w:lang w:val="en-A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rFonts w:ascii="Times New Roman" w:hAnsi="Times New Roman" w:cs="Times New Roman"/>
      <w:lang w:val="el-G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pPr>
      <w:tabs>
        <w:tab w:val="clear" w:pos="720"/>
        <w:tab w:val="center" w:pos="4153" w:leader="none"/>
        <w:tab w:val="right" w:pos="8306" w:leader="none"/>
      </w:tabs>
    </w:pPr>
    <w:rPr>
      <w:rFonts w:ascii="Times New Roman" w:hAnsi="Times New Roman" w:cs="Times New Roman"/>
      <w:lang w:val="en-GB"/>
    </w:rPr>
  </w:style>
  <w:style w:type="paragraph" w:styleId="Annotationtext">
    <w:name w:val="annotation text"/>
    <w:basedOn w:val="Normal"/>
    <w:qFormat/>
    <w:pPr/>
    <w:rPr>
      <w:sz w:val="20"/>
    </w:rPr>
  </w:style>
  <w:style w:type="paragraph" w:styleId="DocumentMap">
    <w:name w:val="Document Map"/>
    <w:basedOn w:val="Normal"/>
    <w:qFormat/>
    <w:pPr>
      <w:shd w:val="clear" w:color="000000" w:fill="00007F"/>
    </w:pPr>
    <w:rPr>
      <w:rFonts w:ascii="Tahoma" w:hAnsi="Tahoma" w:cs="Tahoma"/>
      <w:sz w:val="20"/>
    </w:rPr>
  </w:style>
  <w:style w:type="paragraph" w:styleId="Footnote">
    <w:name w:val="Footnote Text"/>
    <w:basedOn w:val="Normal"/>
    <w:pPr/>
    <w:rPr>
      <w:rFonts w:ascii="Times New Roman" w:hAnsi="Times New Roman" w:cs="Times New Roman"/>
      <w:sz w:val="20"/>
      <w:lang w:eastAsia="en-US"/>
    </w:rPr>
  </w:style>
  <w:style w:type="paragraph" w:styleId="Annotationsubject">
    <w:name w:val="annotation subject"/>
    <w:basedOn w:val="Annotationtext"/>
    <w:next w:val="Annotationtext"/>
    <w:qFormat/>
    <w:pPr/>
    <w:rPr>
      <w:b/>
    </w:rPr>
  </w:style>
  <w:style w:type="paragraph" w:styleId="NormalWeb">
    <w:name w:val="Normal (Web)"/>
    <w:basedOn w:val="Normal"/>
    <w:uiPriority w:val="99"/>
    <w:qFormat/>
    <w:pPr>
      <w:spacing w:beforeAutospacing="1" w:afterAutospacing="1"/>
    </w:pPr>
    <w:rPr>
      <w:rFonts w:ascii="Times New Roman" w:hAnsi="Times New Roman" w:cs="Times New Roman"/>
      <w:szCs w:val="24"/>
      <w:lang w:val="el-GR"/>
    </w:rPr>
  </w:style>
  <w:style w:type="paragraph" w:styleId="Header">
    <w:name w:val="Header"/>
    <w:basedOn w:val="Normal"/>
    <w:pPr>
      <w:tabs>
        <w:tab w:val="clear" w:pos="720"/>
        <w:tab w:val="center" w:pos="4153" w:leader="none"/>
        <w:tab w:val="right" w:pos="8306" w:leader="none"/>
      </w:tabs>
    </w:pPr>
    <w:rPr/>
  </w:style>
  <w:style w:type="paragraph" w:styleId="Revision1" w:customStyle="1">
    <w:name w:val="Revision1"/>
    <w:qFormat/>
    <w:pPr>
      <w:widowControl/>
      <w:suppressAutoHyphens w:val="true"/>
      <w:bidi w:val="0"/>
      <w:spacing w:before="0" w:after="0"/>
      <w:jc w:val="left"/>
    </w:pPr>
    <w:rPr>
      <w:rFonts w:ascii="Arial" w:hAnsi="Arial" w:eastAsia="Times New Roman" w:cs="Arial"/>
      <w:color w:val="000000"/>
      <w:kern w:val="0"/>
      <w:sz w:val="24"/>
      <w:szCs w:val="20"/>
      <w:lang w:val="en-AU" w:eastAsia="el-GR" w:bidi="ar-SA"/>
    </w:rPr>
  </w:style>
  <w:style w:type="paragraph" w:styleId="Endnote">
    <w:name w:val="Endnote Text"/>
    <w:basedOn w:val="Normal"/>
    <w:pPr/>
    <w:rPr>
      <w:sz w:val="20"/>
    </w:rPr>
  </w:style>
  <w:style w:type="paragraph" w:styleId="ListParagraph">
    <w:name w:val="List Paragraph"/>
    <w:basedOn w:val="Normal"/>
    <w:uiPriority w:val="34"/>
    <w:qFormat/>
    <w:rsid w:val="00726613"/>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711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opendata.bankofgreece.gr/el/home" TargetMode="External"/><Relationship Id="rId5" Type="http://schemas.openxmlformats.org/officeDocument/2006/relationships/hyperlink" Target="https://opendata.bankofgreece.gr/el/home" TargetMode="External"/><Relationship Id="rId6" Type="http://schemas.openxmlformats.org/officeDocument/2006/relationships/hyperlink" Target="https://www.bankofgreece.gr/enimerosi/grafeio-typoy/anazhthsh-enhmerwsewn/enhmerwseis?announcement=73f7ba21-b77b-4201-92f8-5d488cee91b7" TargetMode="External"/><Relationship Id="rId7" Type="http://schemas.openxmlformats.org/officeDocument/2006/relationships/hyperlink" Target="https://youtu.be/6NU7ReEJDUY" TargetMode="External"/><Relationship Id="rId8" Type="http://schemas.openxmlformats.org/officeDocument/2006/relationships/hyperlink" Target="http://www.youtube.com/embed/GdxQ8NXDoqA" TargetMode="External"/><Relationship Id="rId9" Type="http://schemas.openxmlformats.org/officeDocument/2006/relationships/hyperlink" Target="https://www.bankofgreece.gr/PublishingImages/PRESS-RELEASES/2022/Open data1.JPG" TargetMode="External"/><Relationship Id="rId10" Type="http://schemas.openxmlformats.org/officeDocument/2006/relationships/hyperlink" Target="https://www.bankofgreece.gr/PublishingImages/PRESS-RELEASES/2022/Open data2.JPG" TargetMode="External"/><Relationship Id="rId11" Type="http://schemas.openxmlformats.org/officeDocument/2006/relationships/hyperlink" Target="https://www.bankofgreece.gr/PublishingImages/PRESS-RELEASES/2022/Open data3.JPG" TargetMode="External"/><Relationship Id="rId12" Type="http://schemas.openxmlformats.org/officeDocument/2006/relationships/hyperlink" Target="https://www.bankofgreece.gr/MediaAttachments/LOGO BOG open data- GR.png" TargetMode="External"/><Relationship Id="rId13" Type="http://schemas.openxmlformats.org/officeDocument/2006/relationships/hyperlink" Target="https://www.bankofgreeceopenbanking.gr/"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ress@bankofgreece.gr" TargetMode="External"/><Relationship Id="rId2" Type="http://schemas.openxmlformats.org/officeDocument/2006/relationships/hyperlink" Target="http://www.bankofgreece.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1FDE-D74F-48D3-9826-9A29A9AD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LibreOffice/6.4.7.2$Linux_X86_64 LibreOffice_project/40$Build-2</Application>
  <Pages>3</Pages>
  <Words>700</Words>
  <Characters>4304</Characters>
  <CharactersWithSpaces>4979</CharactersWithSpaces>
  <Paragraphs>38</Paragraphs>
  <Company>Bank of Greece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2022-03-11T13:44:00Z</dcterms:created>
  <dc:creator>Communication Section</dc:creator>
  <dc:description/>
  <dc:language>en-US</dc:language>
  <cp:lastModifiedBy/>
  <cp:lastPrinted>2022-03-15T11:31:00Z</cp:lastPrinted>
  <dcterms:modified xsi:type="dcterms:W3CDTF">2022-03-16T14:59:22Z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Greece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serv.press@bankofgreece.gr</vt:lpwstr>
  </property>
  <property fmtid="{D5CDD505-2E9C-101B-9397-08002B2CF9AE}" pid="8" name="ScaleCrop">
    <vt:bool>0</vt:bool>
  </property>
  <property fmtid="{D5CDD505-2E9C-101B-9397-08002B2CF9AE}" pid="9" name="ShareDoc">
    <vt:bool>0</vt:bool>
  </property>
</Properties>
</file>