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6" w:type="dxa"/>
        <w:tblInd w:w="108" w:type="dxa"/>
        <w:tblLook w:val="04A0" w:firstRow="1" w:lastRow="0" w:firstColumn="1" w:lastColumn="0" w:noHBand="0" w:noVBand="1"/>
      </w:tblPr>
      <w:tblGrid>
        <w:gridCol w:w="9334"/>
        <w:gridCol w:w="936"/>
      </w:tblGrid>
      <w:tr w:rsidR="006F37D0" w:rsidRPr="009104FC" w14:paraId="5FE9247E" w14:textId="77777777" w:rsidTr="00F26854">
        <w:trPr>
          <w:trHeight w:val="1757"/>
        </w:trPr>
        <w:tc>
          <w:tcPr>
            <w:tcW w:w="3369" w:type="dxa"/>
            <w:tcBorders>
              <w:left w:val="single" w:sz="48" w:space="0" w:color="BC9E6E"/>
            </w:tcBorders>
            <w:vAlign w:val="center"/>
          </w:tcPr>
          <w:p w14:paraId="6BECE164" w14:textId="0BCE7208" w:rsidR="00C711D6" w:rsidRPr="00766A4F" w:rsidRDefault="00025311" w:rsidP="00B220DD">
            <w:pPr>
              <w:tabs>
                <w:tab w:val="left" w:pos="4680"/>
                <w:tab w:val="left" w:pos="8100"/>
              </w:tabs>
              <w:spacing w:before="60"/>
              <w:ind w:right="142" w:firstLine="142"/>
              <w:rPr>
                <w:i/>
                <w:noProof/>
                <w:szCs w:val="22"/>
                <w:lang w:eastAsia="en-GB"/>
              </w:rPr>
            </w:pPr>
            <w:r>
              <w:rPr>
                <w:noProof/>
              </w:rPr>
              <w:drawing>
                <wp:inline distT="0" distB="0" distL="0" distR="0" wp14:anchorId="09F96451" wp14:editId="3F8A2EE0">
                  <wp:extent cx="5609274" cy="1392114"/>
                  <wp:effectExtent l="0" t="0" r="0" b="0"/>
                  <wp:docPr id="18284979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09274" cy="1392114"/>
                          </a:xfrm>
                          <a:prstGeom prst="rect">
                            <a:avLst/>
                          </a:prstGeom>
                          <a:ln/>
                        </pic:spPr>
                      </pic:pic>
                    </a:graphicData>
                  </a:graphic>
                </wp:inline>
              </w:drawing>
            </w:r>
          </w:p>
        </w:tc>
        <w:tc>
          <w:tcPr>
            <w:tcW w:w="5917" w:type="dxa"/>
          </w:tcPr>
          <w:p w14:paraId="798FB303" w14:textId="77777777" w:rsidR="00375D2B" w:rsidRDefault="00375D2B" w:rsidP="00375D2B">
            <w:pPr>
              <w:pStyle w:val="Heading1"/>
              <w:jc w:val="right"/>
              <w:rPr>
                <w:b/>
                <w:i w:val="0"/>
                <w:noProof/>
                <w:sz w:val="32"/>
                <w:szCs w:val="22"/>
                <w:u w:val="none"/>
                <w:lang w:eastAsia="en-GB"/>
              </w:rPr>
            </w:pPr>
          </w:p>
          <w:p w14:paraId="00588B6A" w14:textId="0D0E28E2" w:rsidR="00C711D6" w:rsidRPr="009104FC" w:rsidRDefault="00C711D6" w:rsidP="0068536A">
            <w:pPr>
              <w:pStyle w:val="Heading1"/>
              <w:ind w:firstLine="0"/>
              <w:jc w:val="right"/>
              <w:rPr>
                <w:i w:val="0"/>
                <w:noProof/>
                <w:szCs w:val="22"/>
                <w:u w:val="none"/>
                <w:lang w:eastAsia="en-GB"/>
              </w:rPr>
            </w:pPr>
          </w:p>
        </w:tc>
      </w:tr>
    </w:tbl>
    <w:p w14:paraId="734325CA" w14:textId="77777777" w:rsidR="00025311" w:rsidRPr="006932B9" w:rsidRDefault="00025311" w:rsidP="00025311">
      <w:pPr>
        <w:pStyle w:val="Heading1"/>
        <w:jc w:val="right"/>
        <w:rPr>
          <w:b/>
          <w:i w:val="0"/>
          <w:noProof/>
          <w:color w:val="00205B"/>
          <w:sz w:val="28"/>
          <w:szCs w:val="22"/>
          <w:u w:val="none"/>
          <w:lang w:eastAsia="en-GB"/>
        </w:rPr>
      </w:pPr>
      <w:r w:rsidRPr="006932B9">
        <w:rPr>
          <w:b/>
          <w:i w:val="0"/>
          <w:noProof/>
          <w:color w:val="00205B"/>
          <w:sz w:val="28"/>
          <w:szCs w:val="22"/>
          <w:u w:val="none"/>
          <w:lang w:eastAsia="en-GB"/>
        </w:rPr>
        <w:t xml:space="preserve">ΔΕΛΤΙΟ ΤΥΠΟΥ </w:t>
      </w:r>
    </w:p>
    <w:p w14:paraId="0E29DE74" w14:textId="73DE1E5E" w:rsidR="00C711D6" w:rsidRPr="0068536A" w:rsidRDefault="00025311" w:rsidP="00025311">
      <w:pPr>
        <w:pStyle w:val="Heading1"/>
        <w:ind w:firstLine="0"/>
        <w:jc w:val="right"/>
        <w:rPr>
          <w:i w:val="0"/>
          <w:noProof/>
          <w:szCs w:val="22"/>
          <w:u w:val="none"/>
          <w:lang w:eastAsia="en-GB"/>
        </w:rPr>
      </w:pPr>
      <w:r w:rsidRPr="006932B9">
        <w:rPr>
          <w:i w:val="0"/>
          <w:noProof/>
          <w:color w:val="00205B"/>
          <w:szCs w:val="22"/>
          <w:u w:val="none"/>
          <w:lang w:eastAsia="en-GB"/>
        </w:rPr>
        <w:t xml:space="preserve">Αθήνα, </w:t>
      </w:r>
      <w:r w:rsidR="009743CB">
        <w:rPr>
          <w:i w:val="0"/>
          <w:noProof/>
          <w:color w:val="00205B"/>
          <w:szCs w:val="22"/>
          <w:u w:val="none"/>
          <w:lang w:eastAsia="en-GB"/>
        </w:rPr>
        <w:t>10</w:t>
      </w:r>
      <w:r w:rsidRPr="006932B9">
        <w:rPr>
          <w:i w:val="0"/>
          <w:noProof/>
          <w:color w:val="00205B"/>
          <w:szCs w:val="22"/>
          <w:u w:val="none"/>
          <w:lang w:eastAsia="en-GB"/>
        </w:rPr>
        <w:t xml:space="preserve"> </w:t>
      </w:r>
      <w:r>
        <w:rPr>
          <w:i w:val="0"/>
          <w:noProof/>
          <w:color w:val="00205B"/>
          <w:szCs w:val="22"/>
          <w:u w:val="none"/>
          <w:lang w:eastAsia="en-GB"/>
        </w:rPr>
        <w:t>Δεκεμβρίου</w:t>
      </w:r>
      <w:r w:rsidRPr="006932B9">
        <w:rPr>
          <w:i w:val="0"/>
          <w:noProof/>
          <w:color w:val="00205B"/>
          <w:szCs w:val="22"/>
          <w:u w:val="none"/>
          <w:lang w:eastAsia="en-GB"/>
        </w:rPr>
        <w:t xml:space="preserve"> 202</w:t>
      </w:r>
      <w:r>
        <w:rPr>
          <w:i w:val="0"/>
          <w:noProof/>
          <w:color w:val="00205B"/>
          <w:szCs w:val="22"/>
          <w:u w:val="none"/>
          <w:lang w:eastAsia="en-GB"/>
        </w:rPr>
        <w:t>5</w:t>
      </w:r>
    </w:p>
    <w:p w14:paraId="7747C07C" w14:textId="77777777" w:rsidR="00FF5D14" w:rsidRPr="0068536A" w:rsidRDefault="00FF5D14" w:rsidP="00FF5D14">
      <w:pPr>
        <w:rPr>
          <w:lang w:val="el-GR" w:eastAsia="en-GB"/>
        </w:rPr>
      </w:pPr>
    </w:p>
    <w:p w14:paraId="16B045AB" w14:textId="70067551" w:rsidR="00906441" w:rsidRPr="006932B9" w:rsidRDefault="00025311" w:rsidP="00F25B96">
      <w:pPr>
        <w:pStyle w:val="Heading6"/>
        <w:tabs>
          <w:tab w:val="left" w:pos="4680"/>
          <w:tab w:val="left" w:pos="8100"/>
        </w:tabs>
        <w:spacing w:after="120" w:line="276" w:lineRule="auto"/>
        <w:ind w:left="0" w:right="-2"/>
        <w:rPr>
          <w:b/>
          <w:i w:val="0"/>
          <w:color w:val="00205B"/>
          <w:sz w:val="32"/>
          <w:szCs w:val="32"/>
        </w:rPr>
      </w:pPr>
      <w:r>
        <w:rPr>
          <w:b/>
          <w:i w:val="0"/>
          <w:color w:val="00205B"/>
          <w:sz w:val="32"/>
          <w:szCs w:val="32"/>
        </w:rPr>
        <w:t xml:space="preserve">Ολοκληρώθηκε με επιτυχία ο </w:t>
      </w:r>
      <w:r w:rsidRPr="00025311">
        <w:rPr>
          <w:b/>
          <w:i w:val="0"/>
          <w:color w:val="00205B"/>
          <w:sz w:val="32"/>
          <w:szCs w:val="32"/>
        </w:rPr>
        <w:t xml:space="preserve">2ος Εθνικός Διαγωνισμός Εφαρμογών Ανοικτών Δεδομένων </w:t>
      </w:r>
      <w:proofErr w:type="spellStart"/>
      <w:r w:rsidRPr="00025311">
        <w:rPr>
          <w:b/>
          <w:i w:val="0"/>
          <w:color w:val="00205B"/>
          <w:sz w:val="32"/>
          <w:szCs w:val="32"/>
        </w:rPr>
        <w:t>Datathon</w:t>
      </w:r>
      <w:proofErr w:type="spellEnd"/>
      <w:r w:rsidRPr="00025311">
        <w:rPr>
          <w:b/>
          <w:i w:val="0"/>
          <w:color w:val="00205B"/>
          <w:sz w:val="32"/>
          <w:szCs w:val="32"/>
        </w:rPr>
        <w:t xml:space="preserve"> 2025 από την Τράπεζα της Ελλάδος</w:t>
      </w:r>
    </w:p>
    <w:p w14:paraId="036D64E7" w14:textId="77777777" w:rsidR="00F957D8" w:rsidRDefault="00F957D8">
      <w:pPr>
        <w:rPr>
          <w:lang w:val="el-GR"/>
        </w:rPr>
      </w:pPr>
    </w:p>
    <w:p w14:paraId="4A1DB519" w14:textId="0F42A89B" w:rsidR="00F04F1A" w:rsidRDefault="000820DF" w:rsidP="00C64951">
      <w:pPr>
        <w:numPr>
          <w:ilvl w:val="0"/>
          <w:numId w:val="4"/>
        </w:numPr>
        <w:spacing w:line="360" w:lineRule="auto"/>
        <w:ind w:left="426"/>
        <w:jc w:val="both"/>
        <w:rPr>
          <w:sz w:val="22"/>
          <w:szCs w:val="22"/>
          <w:lang w:val="el-GR"/>
        </w:rPr>
      </w:pPr>
      <w:r>
        <w:rPr>
          <w:sz w:val="22"/>
          <w:szCs w:val="22"/>
          <w:lang w:val="el-GR"/>
        </w:rPr>
        <w:t>Εννέα</w:t>
      </w:r>
      <w:r w:rsidR="00C233F1" w:rsidRPr="00F04F1A">
        <w:rPr>
          <w:sz w:val="22"/>
          <w:szCs w:val="22"/>
          <w:lang w:val="el-GR"/>
        </w:rPr>
        <w:t xml:space="preserve"> ομάδες </w:t>
      </w:r>
      <w:r w:rsidR="00C233F1" w:rsidRPr="000820DF">
        <w:rPr>
          <w:color w:val="auto"/>
          <w:sz w:val="22"/>
          <w:szCs w:val="22"/>
          <w:lang w:val="el-GR"/>
        </w:rPr>
        <w:t xml:space="preserve">από τον χώρο των Πανεπιστημίων, την ελληνική </w:t>
      </w:r>
      <w:r w:rsidR="00C233F1" w:rsidRPr="000820DF">
        <w:rPr>
          <w:color w:val="auto"/>
          <w:sz w:val="22"/>
          <w:szCs w:val="22"/>
          <w:lang w:val="en-US"/>
        </w:rPr>
        <w:t>startup</w:t>
      </w:r>
      <w:r w:rsidR="00C233F1" w:rsidRPr="000820DF">
        <w:rPr>
          <w:color w:val="auto"/>
          <w:sz w:val="22"/>
          <w:szCs w:val="22"/>
          <w:lang w:val="el-GR"/>
        </w:rPr>
        <w:t xml:space="preserve"> κοινότητα κ.α., </w:t>
      </w:r>
      <w:r w:rsidR="00C233F1" w:rsidRPr="00F04F1A">
        <w:rPr>
          <w:sz w:val="22"/>
          <w:szCs w:val="22"/>
          <w:lang w:val="el-GR"/>
        </w:rPr>
        <w:t xml:space="preserve">συγκεντρώθηκαν και εργάστηκαν πάνω στις καινοτόμες ιδέες τους με τη βοήθεια «μεντόρων» από την Τράπεζα της Ελλάδος, </w:t>
      </w:r>
      <w:r w:rsidR="00507CA9" w:rsidRPr="00711228">
        <w:rPr>
          <w:sz w:val="22"/>
          <w:szCs w:val="22"/>
          <w:lang w:val="el-GR"/>
        </w:rPr>
        <w:t>τον Οργανισμό Ανοιχτών Τεχνολογιών (ΕΕΛΛΑΚ)</w:t>
      </w:r>
      <w:r w:rsidR="00507CA9">
        <w:rPr>
          <w:sz w:val="22"/>
          <w:szCs w:val="22"/>
          <w:lang w:val="el-GR"/>
        </w:rPr>
        <w:t xml:space="preserve"> </w:t>
      </w:r>
      <w:r w:rsidR="00C233F1" w:rsidRPr="00F04F1A">
        <w:rPr>
          <w:sz w:val="22"/>
          <w:szCs w:val="22"/>
          <w:lang w:val="el-GR"/>
        </w:rPr>
        <w:t>και την ακαδημαϊκή κοινότητα.</w:t>
      </w:r>
    </w:p>
    <w:p w14:paraId="300307A8" w14:textId="219DD1A5" w:rsidR="00025311" w:rsidRPr="00413A81" w:rsidRDefault="00CB0688" w:rsidP="00C64951">
      <w:pPr>
        <w:numPr>
          <w:ilvl w:val="0"/>
          <w:numId w:val="4"/>
        </w:numPr>
        <w:spacing w:line="360" w:lineRule="auto"/>
        <w:ind w:left="426"/>
        <w:jc w:val="both"/>
        <w:rPr>
          <w:sz w:val="22"/>
          <w:szCs w:val="22"/>
          <w:lang w:val="el-GR"/>
        </w:rPr>
      </w:pPr>
      <w:r w:rsidRPr="00413A81">
        <w:rPr>
          <w:sz w:val="22"/>
          <w:szCs w:val="22"/>
          <w:lang w:val="el-GR"/>
        </w:rPr>
        <w:t xml:space="preserve">Φέτος </w:t>
      </w:r>
      <w:r w:rsidR="00F04F1A" w:rsidRPr="00413A81">
        <w:rPr>
          <w:sz w:val="22"/>
          <w:szCs w:val="22"/>
          <w:lang w:val="el-GR"/>
        </w:rPr>
        <w:t xml:space="preserve">δόθηκε </w:t>
      </w:r>
      <w:r w:rsidRPr="00413A81">
        <w:rPr>
          <w:sz w:val="22"/>
          <w:szCs w:val="22"/>
          <w:lang w:val="el-GR"/>
        </w:rPr>
        <w:t xml:space="preserve">προτεραιότητα </w:t>
      </w:r>
      <w:r w:rsidR="00F04F1A" w:rsidRPr="00413A81">
        <w:rPr>
          <w:sz w:val="22"/>
          <w:szCs w:val="22"/>
          <w:lang w:val="el-GR"/>
        </w:rPr>
        <w:t>στους τομείς της αγοράς ακινήτων και του τουρισμού</w:t>
      </w:r>
      <w:r w:rsidR="00F706B9" w:rsidRPr="00413A81">
        <w:rPr>
          <w:sz w:val="22"/>
          <w:szCs w:val="22"/>
          <w:lang w:val="el-GR"/>
        </w:rPr>
        <w:t>.</w:t>
      </w:r>
    </w:p>
    <w:p w14:paraId="08BFFB19" w14:textId="3A378B0F" w:rsidR="0064175A" w:rsidRDefault="00CB0688" w:rsidP="00C64951">
      <w:pPr>
        <w:numPr>
          <w:ilvl w:val="0"/>
          <w:numId w:val="4"/>
        </w:numPr>
        <w:spacing w:line="360" w:lineRule="auto"/>
        <w:ind w:left="426"/>
        <w:jc w:val="both"/>
        <w:rPr>
          <w:sz w:val="22"/>
          <w:szCs w:val="22"/>
          <w:lang w:val="el-GR"/>
        </w:rPr>
      </w:pPr>
      <w:r>
        <w:rPr>
          <w:sz w:val="22"/>
          <w:szCs w:val="22"/>
          <w:lang w:val="el-GR"/>
        </w:rPr>
        <w:t xml:space="preserve">Οι </w:t>
      </w:r>
      <w:r w:rsidR="0064175A">
        <w:rPr>
          <w:sz w:val="22"/>
          <w:szCs w:val="22"/>
          <w:lang w:val="el-GR"/>
        </w:rPr>
        <w:t xml:space="preserve">τρεις </w:t>
      </w:r>
      <w:r>
        <w:rPr>
          <w:sz w:val="22"/>
          <w:szCs w:val="22"/>
          <w:lang w:val="el-GR"/>
        </w:rPr>
        <w:t xml:space="preserve">πρώτες </w:t>
      </w:r>
      <w:r w:rsidR="0064175A">
        <w:rPr>
          <w:sz w:val="22"/>
          <w:szCs w:val="22"/>
          <w:lang w:val="el-GR"/>
        </w:rPr>
        <w:t>ομάδες</w:t>
      </w:r>
      <w:r>
        <w:rPr>
          <w:sz w:val="22"/>
          <w:szCs w:val="22"/>
          <w:lang w:val="el-GR"/>
        </w:rPr>
        <w:t xml:space="preserve"> </w:t>
      </w:r>
      <w:r w:rsidR="0064175A">
        <w:rPr>
          <w:sz w:val="22"/>
          <w:szCs w:val="22"/>
          <w:lang w:val="el-GR"/>
        </w:rPr>
        <w:t xml:space="preserve">κέρδισαν βραβεία συνολικής αξίας </w:t>
      </w:r>
      <w:r w:rsidR="0064175A" w:rsidRPr="00D3307D">
        <w:rPr>
          <w:sz w:val="22"/>
          <w:szCs w:val="22"/>
          <w:lang w:val="el-GR"/>
        </w:rPr>
        <w:t>6.000 ευρώ</w:t>
      </w:r>
      <w:r w:rsidR="0064175A">
        <w:rPr>
          <w:sz w:val="22"/>
          <w:szCs w:val="22"/>
          <w:lang w:val="el-GR"/>
        </w:rPr>
        <w:t>.</w:t>
      </w:r>
    </w:p>
    <w:p w14:paraId="2C7A0176" w14:textId="3150266D" w:rsidR="00CB0688" w:rsidRDefault="00CB0688" w:rsidP="00CB0688">
      <w:pPr>
        <w:numPr>
          <w:ilvl w:val="0"/>
          <w:numId w:val="4"/>
        </w:numPr>
        <w:spacing w:line="360" w:lineRule="auto"/>
        <w:ind w:left="426"/>
        <w:jc w:val="both"/>
        <w:rPr>
          <w:sz w:val="22"/>
          <w:szCs w:val="22"/>
          <w:lang w:val="el-GR"/>
        </w:rPr>
      </w:pPr>
      <w:r>
        <w:rPr>
          <w:sz w:val="22"/>
          <w:szCs w:val="22"/>
          <w:lang w:val="el-GR"/>
        </w:rPr>
        <w:t>Τ</w:t>
      </w:r>
      <w:r w:rsidRPr="00D9178D">
        <w:rPr>
          <w:sz w:val="22"/>
          <w:szCs w:val="22"/>
          <w:lang w:val="el-GR"/>
        </w:rPr>
        <w:t xml:space="preserve">ο </w:t>
      </w:r>
      <w:proofErr w:type="spellStart"/>
      <w:r w:rsidRPr="00D9178D">
        <w:rPr>
          <w:sz w:val="22"/>
          <w:szCs w:val="22"/>
          <w:lang w:val="el-GR"/>
        </w:rPr>
        <w:t>Datathon</w:t>
      </w:r>
      <w:proofErr w:type="spellEnd"/>
      <w:r w:rsidRPr="00D9178D">
        <w:rPr>
          <w:sz w:val="22"/>
          <w:szCs w:val="22"/>
          <w:lang w:val="el-GR"/>
        </w:rPr>
        <w:t xml:space="preserve"> της Τράπεζας της Ελλάδος είναι μια τεχνολογική δράση ανοικτής καινοτομίας</w:t>
      </w:r>
      <w:r>
        <w:rPr>
          <w:sz w:val="22"/>
          <w:szCs w:val="22"/>
          <w:lang w:val="el-GR"/>
        </w:rPr>
        <w:t xml:space="preserve"> </w:t>
      </w:r>
      <w:r w:rsidRPr="00D9178D">
        <w:rPr>
          <w:sz w:val="22"/>
          <w:szCs w:val="22"/>
          <w:lang w:val="el-GR"/>
        </w:rPr>
        <w:t xml:space="preserve">με στόχο τη δημιουργία πρωτότυπων εφαρμογών και ιδεών με τη χρήση νέων τεχνολογιών και την αξιοποίηση </w:t>
      </w:r>
      <w:r w:rsidR="007F5E56">
        <w:rPr>
          <w:sz w:val="22"/>
          <w:szCs w:val="22"/>
          <w:lang w:val="el-GR"/>
        </w:rPr>
        <w:t xml:space="preserve">των </w:t>
      </w:r>
      <w:r w:rsidRPr="00D9178D">
        <w:rPr>
          <w:sz w:val="22"/>
          <w:szCs w:val="22"/>
          <w:lang w:val="el-GR"/>
        </w:rPr>
        <w:t>ανοικτών δεδομένων</w:t>
      </w:r>
      <w:r w:rsidR="007F5E56">
        <w:rPr>
          <w:sz w:val="22"/>
          <w:szCs w:val="22"/>
          <w:lang w:val="el-GR"/>
        </w:rPr>
        <w:t xml:space="preserve"> της Τράπεζας</w:t>
      </w:r>
      <w:r>
        <w:rPr>
          <w:sz w:val="22"/>
          <w:szCs w:val="22"/>
          <w:lang w:val="el-GR"/>
        </w:rPr>
        <w:t>.</w:t>
      </w:r>
    </w:p>
    <w:p w14:paraId="3197174F" w14:textId="77777777" w:rsidR="00CB0688" w:rsidRPr="00F04F1A" w:rsidRDefault="00CB0688" w:rsidP="00413A81">
      <w:pPr>
        <w:spacing w:line="360" w:lineRule="auto"/>
        <w:ind w:left="426"/>
        <w:jc w:val="both"/>
        <w:rPr>
          <w:sz w:val="22"/>
          <w:szCs w:val="22"/>
          <w:lang w:val="el-GR"/>
        </w:rPr>
      </w:pPr>
    </w:p>
    <w:p w14:paraId="7ADAB3A9" w14:textId="5844F4DA" w:rsidR="008C7796" w:rsidRPr="00AB0F5B" w:rsidRDefault="00711228" w:rsidP="006C0418">
      <w:pPr>
        <w:spacing w:before="120" w:line="360" w:lineRule="auto"/>
        <w:jc w:val="both"/>
        <w:rPr>
          <w:color w:val="FF0000"/>
          <w:sz w:val="22"/>
          <w:szCs w:val="22"/>
          <w:lang w:val="el-GR"/>
        </w:rPr>
      </w:pPr>
      <w:r>
        <w:rPr>
          <w:sz w:val="22"/>
          <w:szCs w:val="22"/>
          <w:lang w:val="el-GR"/>
        </w:rPr>
        <w:t>Η</w:t>
      </w:r>
      <w:r w:rsidRPr="00711228">
        <w:rPr>
          <w:sz w:val="22"/>
          <w:szCs w:val="22"/>
          <w:lang w:val="el-GR"/>
        </w:rPr>
        <w:t xml:space="preserve"> Τράπεζα της Ελλάδος, σε συνεργασία με τον Οργανισμό Ανοιχτών Τεχνολογιών (ΕΕΛΛΑΚ), διοργ</w:t>
      </w:r>
      <w:r>
        <w:rPr>
          <w:sz w:val="22"/>
          <w:szCs w:val="22"/>
          <w:lang w:val="el-GR"/>
        </w:rPr>
        <w:t>άνωσε με επιτυχία</w:t>
      </w:r>
      <w:r w:rsidRPr="00711228">
        <w:rPr>
          <w:sz w:val="22"/>
          <w:szCs w:val="22"/>
          <w:lang w:val="el-GR"/>
        </w:rPr>
        <w:t xml:space="preserve"> τον 2ο Εθνικό Διαγωνισμό Εφαρμογών Ανοικτών Δεδομένων </w:t>
      </w:r>
      <w:proofErr w:type="spellStart"/>
      <w:r w:rsidRPr="00EE20C8">
        <w:rPr>
          <w:b/>
          <w:bCs/>
          <w:sz w:val="22"/>
          <w:szCs w:val="22"/>
        </w:rPr>
        <w:t>Datathon</w:t>
      </w:r>
      <w:proofErr w:type="spellEnd"/>
      <w:r w:rsidRPr="00711228">
        <w:rPr>
          <w:b/>
          <w:bCs/>
          <w:sz w:val="22"/>
          <w:szCs w:val="22"/>
          <w:lang w:val="el-GR"/>
        </w:rPr>
        <w:t xml:space="preserve"> 2025</w:t>
      </w:r>
      <w:r>
        <w:rPr>
          <w:b/>
          <w:bCs/>
          <w:sz w:val="22"/>
          <w:szCs w:val="22"/>
          <w:lang w:val="el-GR"/>
        </w:rPr>
        <w:t>.</w:t>
      </w:r>
      <w:r w:rsidRPr="00711228">
        <w:rPr>
          <w:sz w:val="22"/>
          <w:szCs w:val="22"/>
          <w:lang w:val="el-GR"/>
        </w:rPr>
        <w:t xml:space="preserve"> </w:t>
      </w:r>
      <w:r w:rsidR="00DA2688" w:rsidRPr="00DA2688">
        <w:rPr>
          <w:sz w:val="22"/>
          <w:szCs w:val="22"/>
          <w:lang w:val="el-GR"/>
        </w:rPr>
        <w:t xml:space="preserve">Το Σάββατο 6 και την Κυριακή 7 Δεκεμβρίου 2025 </w:t>
      </w:r>
      <w:r w:rsidR="00DA2688">
        <w:rPr>
          <w:sz w:val="22"/>
          <w:szCs w:val="22"/>
          <w:lang w:val="el-GR"/>
        </w:rPr>
        <w:t>πραγματοποιήθηκε</w:t>
      </w:r>
      <w:r w:rsidR="00DA2688" w:rsidRPr="00DA2688">
        <w:rPr>
          <w:sz w:val="22"/>
          <w:szCs w:val="22"/>
          <w:lang w:val="el-GR"/>
        </w:rPr>
        <w:t xml:space="preserve"> η τελική φάση του </w:t>
      </w:r>
      <w:r w:rsidR="00DA2688">
        <w:rPr>
          <w:sz w:val="22"/>
          <w:szCs w:val="22"/>
          <w:lang w:val="el-GR"/>
        </w:rPr>
        <w:t>διαγωνισμού</w:t>
      </w:r>
      <w:r w:rsidR="00507CA9">
        <w:rPr>
          <w:sz w:val="22"/>
          <w:szCs w:val="22"/>
          <w:lang w:val="el-GR"/>
        </w:rPr>
        <w:t>,</w:t>
      </w:r>
      <w:r w:rsidR="00DC20E3">
        <w:rPr>
          <w:sz w:val="22"/>
          <w:szCs w:val="22"/>
          <w:lang w:val="el-GR"/>
        </w:rPr>
        <w:t xml:space="preserve"> στο</w:t>
      </w:r>
      <w:r w:rsidR="00DA2688">
        <w:rPr>
          <w:sz w:val="22"/>
          <w:szCs w:val="22"/>
          <w:lang w:val="el-GR"/>
        </w:rPr>
        <w:t xml:space="preserve"> </w:t>
      </w:r>
      <w:r w:rsidR="00DC20E3">
        <w:rPr>
          <w:sz w:val="22"/>
          <w:szCs w:val="22"/>
        </w:rPr>
        <w:t>IMPACT</w:t>
      </w:r>
      <w:r w:rsidR="00DC20E3" w:rsidRPr="00711228">
        <w:rPr>
          <w:sz w:val="22"/>
          <w:szCs w:val="22"/>
          <w:lang w:val="el-GR"/>
        </w:rPr>
        <w:t xml:space="preserve"> </w:t>
      </w:r>
      <w:r w:rsidR="00DC20E3">
        <w:rPr>
          <w:sz w:val="22"/>
          <w:szCs w:val="22"/>
        </w:rPr>
        <w:t>HUB</w:t>
      </w:r>
      <w:r w:rsidR="00DC20E3" w:rsidRPr="00711228">
        <w:rPr>
          <w:sz w:val="22"/>
          <w:szCs w:val="22"/>
          <w:lang w:val="el-GR"/>
        </w:rPr>
        <w:t xml:space="preserve"> </w:t>
      </w:r>
      <w:r w:rsidR="00DC20E3">
        <w:rPr>
          <w:sz w:val="22"/>
          <w:szCs w:val="22"/>
        </w:rPr>
        <w:t>ATHENS</w:t>
      </w:r>
      <w:r w:rsidR="00DC20E3" w:rsidRPr="00711228">
        <w:rPr>
          <w:sz w:val="22"/>
          <w:szCs w:val="22"/>
          <w:lang w:val="el-GR"/>
        </w:rPr>
        <w:t xml:space="preserve"> </w:t>
      </w:r>
      <w:r w:rsidRPr="00711228">
        <w:rPr>
          <w:sz w:val="22"/>
          <w:szCs w:val="22"/>
          <w:lang w:val="el-GR"/>
        </w:rPr>
        <w:t>στην Αθήνα</w:t>
      </w:r>
      <w:r w:rsidR="00CB0688">
        <w:rPr>
          <w:sz w:val="22"/>
          <w:szCs w:val="22"/>
          <w:lang w:val="el-GR"/>
        </w:rPr>
        <w:t>. Μ</w:t>
      </w:r>
      <w:r w:rsidR="00DC20E3">
        <w:rPr>
          <w:sz w:val="22"/>
          <w:szCs w:val="22"/>
          <w:lang w:val="el-GR"/>
        </w:rPr>
        <w:t>έσα από μία</w:t>
      </w:r>
      <w:r w:rsidR="0040268A">
        <w:rPr>
          <w:sz w:val="22"/>
          <w:szCs w:val="22"/>
          <w:lang w:val="el-GR"/>
        </w:rPr>
        <w:t xml:space="preserve"> </w:t>
      </w:r>
      <w:r w:rsidR="00DC20E3">
        <w:rPr>
          <w:sz w:val="22"/>
          <w:szCs w:val="22"/>
          <w:lang w:val="el-GR"/>
        </w:rPr>
        <w:t xml:space="preserve">απαιτητική διαδικασία </w:t>
      </w:r>
      <w:r w:rsidR="00CB0688">
        <w:rPr>
          <w:sz w:val="22"/>
          <w:szCs w:val="22"/>
          <w:lang w:val="el-GR"/>
        </w:rPr>
        <w:t xml:space="preserve">ξεχώρισαν </w:t>
      </w:r>
      <w:r w:rsidR="00D3307D">
        <w:rPr>
          <w:sz w:val="22"/>
          <w:szCs w:val="22"/>
          <w:lang w:val="el-GR"/>
        </w:rPr>
        <w:t>οι</w:t>
      </w:r>
      <w:r w:rsidR="00667F0F" w:rsidRPr="00667F0F">
        <w:rPr>
          <w:sz w:val="22"/>
          <w:szCs w:val="22"/>
          <w:lang w:val="el-GR"/>
        </w:rPr>
        <w:t xml:space="preserve"> </w:t>
      </w:r>
      <w:r w:rsidR="00DA2688">
        <w:rPr>
          <w:sz w:val="22"/>
          <w:szCs w:val="22"/>
          <w:lang w:val="el-GR"/>
        </w:rPr>
        <w:t>τρεις</w:t>
      </w:r>
      <w:r w:rsidR="00D3307D">
        <w:rPr>
          <w:sz w:val="22"/>
          <w:szCs w:val="22"/>
          <w:lang w:val="el-GR"/>
        </w:rPr>
        <w:t xml:space="preserve"> νικητήριες ομάδε</w:t>
      </w:r>
      <w:r w:rsidR="00115528">
        <w:rPr>
          <w:sz w:val="22"/>
          <w:szCs w:val="22"/>
          <w:lang w:val="el-GR"/>
        </w:rPr>
        <w:t>ς</w:t>
      </w:r>
      <w:r w:rsidR="0040268A">
        <w:rPr>
          <w:sz w:val="22"/>
          <w:szCs w:val="22"/>
          <w:lang w:val="el-GR"/>
        </w:rPr>
        <w:t>,</w:t>
      </w:r>
      <w:r w:rsidR="00115528">
        <w:rPr>
          <w:sz w:val="22"/>
          <w:szCs w:val="22"/>
          <w:lang w:val="el-GR"/>
        </w:rPr>
        <w:t xml:space="preserve"> οι οποίες</w:t>
      </w:r>
      <w:r w:rsidR="00D3307D">
        <w:rPr>
          <w:sz w:val="22"/>
          <w:szCs w:val="22"/>
          <w:lang w:val="el-GR"/>
        </w:rPr>
        <w:t xml:space="preserve"> κέρδισαν βραβεία συνολικής αξίας </w:t>
      </w:r>
      <w:r w:rsidR="00D3307D" w:rsidRPr="00D3307D">
        <w:rPr>
          <w:sz w:val="22"/>
          <w:szCs w:val="22"/>
          <w:lang w:val="el-GR"/>
        </w:rPr>
        <w:t>6.000 ευρώ</w:t>
      </w:r>
      <w:r w:rsidR="008C7796">
        <w:rPr>
          <w:sz w:val="22"/>
          <w:szCs w:val="22"/>
          <w:lang w:val="el-GR"/>
        </w:rPr>
        <w:t>.</w:t>
      </w:r>
      <w:r w:rsidR="008B706C">
        <w:rPr>
          <w:sz w:val="22"/>
          <w:szCs w:val="22"/>
          <w:lang w:val="el-GR"/>
        </w:rPr>
        <w:t xml:space="preserve"> </w:t>
      </w:r>
      <w:r w:rsidR="008B706C" w:rsidRPr="00BC696F">
        <w:rPr>
          <w:sz w:val="22"/>
          <w:szCs w:val="22"/>
          <w:lang w:val="el-GR"/>
        </w:rPr>
        <w:t xml:space="preserve">Τους νικητές </w:t>
      </w:r>
      <w:r w:rsidR="008B706C" w:rsidRPr="0063688D">
        <w:rPr>
          <w:color w:val="auto"/>
          <w:sz w:val="22"/>
          <w:szCs w:val="22"/>
          <w:lang w:val="el-GR"/>
        </w:rPr>
        <w:t>βράβευσ</w:t>
      </w:r>
      <w:r w:rsidR="00AB0F5B">
        <w:rPr>
          <w:color w:val="auto"/>
          <w:sz w:val="22"/>
          <w:szCs w:val="22"/>
          <w:lang w:val="el-GR"/>
        </w:rPr>
        <w:t>αν</w:t>
      </w:r>
      <w:r w:rsidR="008B706C" w:rsidRPr="0063688D">
        <w:rPr>
          <w:color w:val="auto"/>
          <w:sz w:val="22"/>
          <w:szCs w:val="22"/>
          <w:lang w:val="el-GR"/>
        </w:rPr>
        <w:t xml:space="preserve"> </w:t>
      </w:r>
      <w:r w:rsidR="0063688D" w:rsidRPr="0063688D">
        <w:rPr>
          <w:color w:val="auto"/>
          <w:sz w:val="22"/>
          <w:szCs w:val="22"/>
          <w:lang w:val="el-GR"/>
        </w:rPr>
        <w:t xml:space="preserve">ο Διευθυντής Οργάνωσης της Τράπεζας της Ελλάδος </w:t>
      </w:r>
      <w:r w:rsidR="0063688D" w:rsidRPr="00507CA9">
        <w:rPr>
          <w:b/>
          <w:bCs/>
          <w:color w:val="auto"/>
          <w:sz w:val="22"/>
          <w:szCs w:val="22"/>
          <w:lang w:val="el-GR"/>
        </w:rPr>
        <w:t xml:space="preserve">Σπύρος </w:t>
      </w:r>
      <w:proofErr w:type="spellStart"/>
      <w:r w:rsidR="0063688D" w:rsidRPr="00507CA9">
        <w:rPr>
          <w:b/>
          <w:bCs/>
          <w:color w:val="auto"/>
          <w:sz w:val="22"/>
          <w:szCs w:val="22"/>
          <w:lang w:val="el-GR"/>
        </w:rPr>
        <w:t>Γαρδικιώτης</w:t>
      </w:r>
      <w:proofErr w:type="spellEnd"/>
      <w:r w:rsidR="00AB0F5B">
        <w:rPr>
          <w:b/>
          <w:bCs/>
          <w:color w:val="auto"/>
          <w:sz w:val="22"/>
          <w:szCs w:val="22"/>
          <w:lang w:val="el-GR"/>
        </w:rPr>
        <w:t xml:space="preserve"> </w:t>
      </w:r>
      <w:r w:rsidR="00AB0F5B" w:rsidRPr="00AB0F5B">
        <w:rPr>
          <w:color w:val="auto"/>
          <w:sz w:val="22"/>
          <w:szCs w:val="22"/>
          <w:lang w:val="el-GR"/>
        </w:rPr>
        <w:t xml:space="preserve">και ο Γενικός Διευθυντής του </w:t>
      </w:r>
      <w:r w:rsidR="006E648E" w:rsidRPr="00711228">
        <w:rPr>
          <w:sz w:val="22"/>
          <w:szCs w:val="22"/>
          <w:lang w:val="el-GR"/>
        </w:rPr>
        <w:t>Οργανισ</w:t>
      </w:r>
      <w:r w:rsidR="006E648E">
        <w:rPr>
          <w:sz w:val="22"/>
          <w:szCs w:val="22"/>
          <w:lang w:val="el-GR"/>
        </w:rPr>
        <w:t>μού</w:t>
      </w:r>
      <w:r w:rsidR="006E648E" w:rsidRPr="00711228">
        <w:rPr>
          <w:sz w:val="22"/>
          <w:szCs w:val="22"/>
          <w:lang w:val="el-GR"/>
        </w:rPr>
        <w:t xml:space="preserve"> Ανοιχτών Τεχνολογιών (ΕΕΛΛΑΚ</w:t>
      </w:r>
      <w:r w:rsidR="006E648E">
        <w:rPr>
          <w:sz w:val="22"/>
          <w:szCs w:val="22"/>
          <w:lang w:val="el-GR"/>
        </w:rPr>
        <w:t>)</w:t>
      </w:r>
      <w:r w:rsidR="00AB0F5B" w:rsidRPr="00AB0F5B">
        <w:rPr>
          <w:b/>
          <w:bCs/>
          <w:color w:val="auto"/>
          <w:sz w:val="22"/>
          <w:szCs w:val="22"/>
          <w:lang w:val="el-GR"/>
        </w:rPr>
        <w:t xml:space="preserve"> Αλέξανδρος</w:t>
      </w:r>
      <w:r w:rsidR="004C04B3">
        <w:rPr>
          <w:b/>
          <w:bCs/>
          <w:color w:val="auto"/>
          <w:sz w:val="22"/>
          <w:szCs w:val="22"/>
          <w:lang w:val="el-GR"/>
        </w:rPr>
        <w:t xml:space="preserve"> </w:t>
      </w:r>
      <w:r w:rsidR="004C04B3" w:rsidRPr="00AB0F5B">
        <w:rPr>
          <w:b/>
          <w:bCs/>
          <w:color w:val="auto"/>
          <w:sz w:val="22"/>
          <w:szCs w:val="22"/>
          <w:lang w:val="el-GR"/>
        </w:rPr>
        <w:t>Μελίδης</w:t>
      </w:r>
      <w:r w:rsidR="00AB0F5B">
        <w:rPr>
          <w:b/>
          <w:bCs/>
          <w:color w:val="auto"/>
          <w:sz w:val="22"/>
          <w:szCs w:val="22"/>
          <w:lang w:val="el-GR"/>
        </w:rPr>
        <w:t>.</w:t>
      </w:r>
    </w:p>
    <w:p w14:paraId="498D6D3F" w14:textId="088850E0" w:rsidR="00BC696F" w:rsidRDefault="00CB0688" w:rsidP="00BC696F">
      <w:pPr>
        <w:spacing w:before="120" w:line="360" w:lineRule="auto"/>
        <w:jc w:val="both"/>
        <w:rPr>
          <w:sz w:val="22"/>
          <w:szCs w:val="22"/>
          <w:lang w:val="el-GR"/>
        </w:rPr>
      </w:pPr>
      <w:r>
        <w:rPr>
          <w:sz w:val="22"/>
          <w:szCs w:val="22"/>
          <w:lang w:val="el-GR"/>
        </w:rPr>
        <w:t>Τ</w:t>
      </w:r>
      <w:r w:rsidR="00BC696F" w:rsidRPr="00D9178D">
        <w:rPr>
          <w:sz w:val="22"/>
          <w:szCs w:val="22"/>
          <w:lang w:val="el-GR"/>
        </w:rPr>
        <w:t xml:space="preserve">ο </w:t>
      </w:r>
      <w:proofErr w:type="spellStart"/>
      <w:r w:rsidR="00BC696F" w:rsidRPr="00D9178D">
        <w:rPr>
          <w:sz w:val="22"/>
          <w:szCs w:val="22"/>
          <w:lang w:val="el-GR"/>
        </w:rPr>
        <w:t>Datathon</w:t>
      </w:r>
      <w:proofErr w:type="spellEnd"/>
      <w:r w:rsidR="00BC696F" w:rsidRPr="00D9178D">
        <w:rPr>
          <w:sz w:val="22"/>
          <w:szCs w:val="22"/>
          <w:lang w:val="el-GR"/>
        </w:rPr>
        <w:t xml:space="preserve"> της Τράπεζας της Ελλάδος είναι μια τεχνολογική δράση ανοικτής καινοτομίας με στόχο τη δημιουργία πρωτότυπων εφαρμογών και ιδεών με τη χρήση νέων τεχνολογιών και την αξιοποίηση ανοικτών δεδομένων, που παρέχονται μέσω της πύλης ανοικτών δεδομένων </w:t>
      </w:r>
      <w:hyperlink r:id="rId9" w:tgtFrame="_blank" w:history="1">
        <w:r w:rsidR="00BC696F" w:rsidRPr="00D9178D">
          <w:rPr>
            <w:rStyle w:val="Hyperlink"/>
            <w:sz w:val="22"/>
            <w:szCs w:val="22"/>
          </w:rPr>
          <w:t>Open</w:t>
        </w:r>
        <w:r w:rsidR="00BC696F" w:rsidRPr="00D9178D">
          <w:rPr>
            <w:rStyle w:val="Hyperlink"/>
            <w:sz w:val="22"/>
            <w:szCs w:val="22"/>
            <w:lang w:val="el-GR"/>
          </w:rPr>
          <w:t xml:space="preserve"> </w:t>
        </w:r>
        <w:r w:rsidR="00BC696F" w:rsidRPr="00D9178D">
          <w:rPr>
            <w:rStyle w:val="Hyperlink"/>
            <w:sz w:val="22"/>
            <w:szCs w:val="22"/>
          </w:rPr>
          <w:t>Data</w:t>
        </w:r>
        <w:r w:rsidR="00BC696F" w:rsidRPr="00D9178D">
          <w:rPr>
            <w:rStyle w:val="Hyperlink"/>
            <w:sz w:val="22"/>
            <w:szCs w:val="22"/>
            <w:lang w:val="el-GR"/>
          </w:rPr>
          <w:t xml:space="preserve"> </w:t>
        </w:r>
        <w:r w:rsidR="00BC696F" w:rsidRPr="00D9178D">
          <w:rPr>
            <w:rStyle w:val="Hyperlink"/>
            <w:sz w:val="22"/>
            <w:szCs w:val="22"/>
          </w:rPr>
          <w:t>Portal</w:t>
        </w:r>
      </w:hyperlink>
      <w:r w:rsidR="00BC696F" w:rsidRPr="00D9178D">
        <w:rPr>
          <w:sz w:val="22"/>
          <w:szCs w:val="22"/>
          <w:lang w:val="el-GR"/>
        </w:rPr>
        <w:t xml:space="preserve"> της Τράπεζας της Ελλάδος, σε συνδυασμό με άλλες πηγές ανοικτών </w:t>
      </w:r>
      <w:r w:rsidR="00BC696F" w:rsidRPr="00D9178D">
        <w:rPr>
          <w:sz w:val="22"/>
          <w:szCs w:val="22"/>
          <w:lang w:val="el-GR"/>
        </w:rPr>
        <w:lastRenderedPageBreak/>
        <w:t>δεδομένων.</w:t>
      </w:r>
      <w:r w:rsidR="007F5E56" w:rsidRPr="007F5E56">
        <w:rPr>
          <w:color w:val="auto"/>
          <w:sz w:val="22"/>
          <w:szCs w:val="22"/>
          <w:lang w:val="el-GR"/>
        </w:rPr>
        <w:t xml:space="preserve"> </w:t>
      </w:r>
      <w:r w:rsidR="007F5E56">
        <w:rPr>
          <w:color w:val="auto"/>
          <w:sz w:val="22"/>
          <w:szCs w:val="22"/>
          <w:lang w:val="el-GR"/>
        </w:rPr>
        <w:t>Δ</w:t>
      </w:r>
      <w:r w:rsidR="007F5E56" w:rsidRPr="00E769FA">
        <w:rPr>
          <w:color w:val="auto"/>
          <w:sz w:val="22"/>
          <w:szCs w:val="22"/>
          <w:lang w:val="el-GR"/>
        </w:rPr>
        <w:t>εν είναι απλώς ένας διαγωνισμός</w:t>
      </w:r>
      <w:r w:rsidR="007F5E56">
        <w:rPr>
          <w:color w:val="auto"/>
          <w:sz w:val="22"/>
          <w:szCs w:val="22"/>
          <w:lang w:val="el-GR"/>
        </w:rPr>
        <w:t xml:space="preserve"> που επιδιώκει την ανάδειξη της προστιθέμενης αξίας και την προώθηση του </w:t>
      </w:r>
      <w:r w:rsidR="007F5E56" w:rsidRPr="0040268A">
        <w:rPr>
          <w:sz w:val="22"/>
          <w:szCs w:val="22"/>
          <w:lang w:val="el-GR"/>
        </w:rPr>
        <w:t>ψηφιακ</w:t>
      </w:r>
      <w:r w:rsidR="007F5E56">
        <w:rPr>
          <w:sz w:val="22"/>
          <w:szCs w:val="22"/>
          <w:lang w:val="el-GR"/>
        </w:rPr>
        <w:t>ού</w:t>
      </w:r>
      <w:r w:rsidR="007F5E56" w:rsidRPr="0040268A">
        <w:rPr>
          <w:sz w:val="22"/>
          <w:szCs w:val="22"/>
          <w:lang w:val="el-GR"/>
        </w:rPr>
        <w:t xml:space="preserve"> μετασχηματισμ</w:t>
      </w:r>
      <w:r w:rsidR="007F5E56">
        <w:rPr>
          <w:sz w:val="22"/>
          <w:szCs w:val="22"/>
          <w:lang w:val="el-GR"/>
        </w:rPr>
        <w:t>ού</w:t>
      </w:r>
      <w:r w:rsidR="007F5E56" w:rsidRPr="0040268A">
        <w:rPr>
          <w:sz w:val="22"/>
          <w:szCs w:val="22"/>
          <w:lang w:val="el-GR"/>
        </w:rPr>
        <w:t xml:space="preserve"> σε σημαντικούς τομείς της οικονομίας και της κοινωνίας</w:t>
      </w:r>
      <w:r w:rsidR="007F5E56">
        <w:rPr>
          <w:sz w:val="22"/>
          <w:szCs w:val="22"/>
          <w:lang w:val="el-GR"/>
        </w:rPr>
        <w:t xml:space="preserve">. </w:t>
      </w:r>
      <w:r w:rsidR="007F5E56">
        <w:rPr>
          <w:color w:val="auto"/>
          <w:sz w:val="22"/>
          <w:szCs w:val="22"/>
          <w:lang w:val="el-GR"/>
        </w:rPr>
        <w:t>Ε</w:t>
      </w:r>
      <w:r w:rsidR="007F5E56" w:rsidRPr="00E769FA">
        <w:rPr>
          <w:color w:val="auto"/>
          <w:sz w:val="22"/>
          <w:szCs w:val="22"/>
          <w:lang w:val="el-GR"/>
        </w:rPr>
        <w:t>ίναι μια βιωματική εμπειρία μάθησης που προσφέρει στους συμμετέχοντες την ευκαιρία να εφαρμόσουν τις γνώσεις τους, να συνεργαστούν και να παράγουν ιδέες με επιχειρησιακή αξία που ανταποκρίνονται σε πραγματικές προκλήσεις.</w:t>
      </w:r>
    </w:p>
    <w:p w14:paraId="02C43081" w14:textId="597F5B96" w:rsidR="00CB0688" w:rsidRDefault="007F5E56" w:rsidP="0040268A">
      <w:pPr>
        <w:spacing w:before="120" w:line="360" w:lineRule="auto"/>
        <w:jc w:val="both"/>
        <w:rPr>
          <w:sz w:val="22"/>
          <w:szCs w:val="22"/>
          <w:lang w:val="el-GR"/>
        </w:rPr>
      </w:pPr>
      <w:r>
        <w:rPr>
          <w:sz w:val="22"/>
          <w:szCs w:val="22"/>
          <w:lang w:val="el-GR"/>
        </w:rPr>
        <w:t>Στο</w:t>
      </w:r>
      <w:r w:rsidR="005D4F1E">
        <w:rPr>
          <w:sz w:val="22"/>
          <w:szCs w:val="22"/>
          <w:lang w:val="el-GR"/>
        </w:rPr>
        <w:t>ν</w:t>
      </w:r>
      <w:r>
        <w:rPr>
          <w:sz w:val="22"/>
          <w:szCs w:val="22"/>
          <w:lang w:val="el-GR"/>
        </w:rPr>
        <w:t xml:space="preserve"> φετινό διαγωνισμό δόθηκε</w:t>
      </w:r>
      <w:r w:rsidRPr="0040268A">
        <w:rPr>
          <w:sz w:val="22"/>
          <w:szCs w:val="22"/>
          <w:lang w:val="el-GR"/>
        </w:rPr>
        <w:t xml:space="preserve"> </w:t>
      </w:r>
      <w:r w:rsidR="00CB0688">
        <w:rPr>
          <w:sz w:val="22"/>
          <w:szCs w:val="22"/>
          <w:lang w:val="el-GR"/>
        </w:rPr>
        <w:t>π</w:t>
      </w:r>
      <w:r w:rsidR="00CB0688" w:rsidRPr="0040268A">
        <w:rPr>
          <w:sz w:val="22"/>
          <w:szCs w:val="22"/>
          <w:lang w:val="el-GR"/>
        </w:rPr>
        <w:t>ροτεραιότητα στους τομείς της αγοράς ακινήτων</w:t>
      </w:r>
      <w:r w:rsidR="00042CAC">
        <w:rPr>
          <w:sz w:val="22"/>
          <w:szCs w:val="22"/>
          <w:lang w:val="el-GR"/>
        </w:rPr>
        <w:t xml:space="preserve"> </w:t>
      </w:r>
      <w:r w:rsidR="00CB0688" w:rsidRPr="0040268A">
        <w:rPr>
          <w:sz w:val="22"/>
          <w:szCs w:val="22"/>
          <w:lang w:val="el-GR"/>
        </w:rPr>
        <w:t>και του τουρισμού</w:t>
      </w:r>
      <w:r w:rsidR="00042CAC">
        <w:rPr>
          <w:sz w:val="22"/>
          <w:szCs w:val="22"/>
          <w:lang w:val="el-GR"/>
        </w:rPr>
        <w:t>.</w:t>
      </w:r>
    </w:p>
    <w:p w14:paraId="57A0EFA0" w14:textId="3D267215" w:rsidR="007F5E56" w:rsidRPr="00D9178D" w:rsidRDefault="007F5E56" w:rsidP="007F5E56">
      <w:pPr>
        <w:spacing w:before="120" w:line="360" w:lineRule="auto"/>
        <w:jc w:val="both"/>
        <w:rPr>
          <w:sz w:val="22"/>
          <w:szCs w:val="22"/>
          <w:lang w:val="el-GR"/>
        </w:rPr>
      </w:pPr>
      <w:r>
        <w:rPr>
          <w:sz w:val="22"/>
          <w:szCs w:val="22"/>
          <w:lang w:val="el-GR"/>
        </w:rPr>
        <w:t>Στην τελική φάση του διαγωνισμού έλαβαν μέρος εννέα</w:t>
      </w:r>
      <w:r w:rsidRPr="00DA2688">
        <w:rPr>
          <w:sz w:val="22"/>
          <w:szCs w:val="22"/>
          <w:lang w:val="el-GR"/>
        </w:rPr>
        <w:t xml:space="preserve"> ομάδες</w:t>
      </w:r>
      <w:r>
        <w:rPr>
          <w:color w:val="auto"/>
          <w:sz w:val="22"/>
          <w:szCs w:val="22"/>
          <w:lang w:val="el-GR"/>
        </w:rPr>
        <w:t>,</w:t>
      </w:r>
      <w:r w:rsidRPr="00CB6037">
        <w:rPr>
          <w:color w:val="auto"/>
          <w:sz w:val="22"/>
          <w:szCs w:val="22"/>
          <w:lang w:val="el-GR"/>
        </w:rPr>
        <w:t xml:space="preserve"> από τον χώρο των Πανεπιστημίων, την ελληνική </w:t>
      </w:r>
      <w:r w:rsidRPr="00CB6037">
        <w:rPr>
          <w:color w:val="auto"/>
          <w:sz w:val="22"/>
          <w:szCs w:val="22"/>
          <w:lang w:val="en-US"/>
        </w:rPr>
        <w:t>startup</w:t>
      </w:r>
      <w:r w:rsidRPr="00CB6037">
        <w:rPr>
          <w:color w:val="auto"/>
          <w:sz w:val="22"/>
          <w:szCs w:val="22"/>
          <w:lang w:val="el-GR"/>
        </w:rPr>
        <w:t xml:space="preserve"> κοινότητα κ.α., </w:t>
      </w:r>
      <w:r>
        <w:rPr>
          <w:sz w:val="22"/>
          <w:szCs w:val="22"/>
          <w:lang w:val="el-GR"/>
        </w:rPr>
        <w:t xml:space="preserve">οι οποίες συγκεντρώθηκαν και εργάστηκαν </w:t>
      </w:r>
      <w:r w:rsidRPr="00DA2688">
        <w:rPr>
          <w:sz w:val="22"/>
          <w:szCs w:val="22"/>
          <w:lang w:val="el-GR"/>
        </w:rPr>
        <w:t xml:space="preserve">πάνω </w:t>
      </w:r>
      <w:r>
        <w:rPr>
          <w:sz w:val="22"/>
          <w:szCs w:val="22"/>
          <w:lang w:val="el-GR"/>
        </w:rPr>
        <w:t>στις καινοτόμες</w:t>
      </w:r>
      <w:r w:rsidRPr="00DA2688">
        <w:rPr>
          <w:sz w:val="22"/>
          <w:szCs w:val="22"/>
          <w:lang w:val="el-GR"/>
        </w:rPr>
        <w:t xml:space="preserve"> ιδέες τους με τη βοήθεια </w:t>
      </w:r>
      <w:r>
        <w:rPr>
          <w:sz w:val="22"/>
          <w:szCs w:val="22"/>
          <w:lang w:val="el-GR"/>
        </w:rPr>
        <w:t>«</w:t>
      </w:r>
      <w:r w:rsidRPr="00DA2688">
        <w:rPr>
          <w:sz w:val="22"/>
          <w:szCs w:val="22"/>
          <w:lang w:val="el-GR"/>
        </w:rPr>
        <w:t>μεντόρων</w:t>
      </w:r>
      <w:r>
        <w:rPr>
          <w:sz w:val="22"/>
          <w:szCs w:val="22"/>
          <w:lang w:val="el-GR"/>
        </w:rPr>
        <w:t>»</w:t>
      </w:r>
      <w:r w:rsidRPr="00DA2688">
        <w:rPr>
          <w:sz w:val="22"/>
          <w:szCs w:val="22"/>
          <w:lang w:val="el-GR"/>
        </w:rPr>
        <w:t xml:space="preserve"> από την Τράπεζα της Ελλάδος, τ</w:t>
      </w:r>
      <w:r w:rsidR="004A09A6">
        <w:rPr>
          <w:sz w:val="22"/>
          <w:szCs w:val="22"/>
          <w:lang w:val="el-GR"/>
        </w:rPr>
        <w:t>η</w:t>
      </w:r>
      <w:r w:rsidRPr="00DA2688">
        <w:rPr>
          <w:sz w:val="22"/>
          <w:szCs w:val="22"/>
          <w:lang w:val="el-GR"/>
        </w:rPr>
        <w:t>ν ΕΕΛΛΑΚ και την ακαδημαϊκή κοινότητα.</w:t>
      </w:r>
      <w:r>
        <w:rPr>
          <w:color w:val="auto"/>
          <w:sz w:val="22"/>
          <w:szCs w:val="22"/>
          <w:lang w:val="el-GR"/>
        </w:rPr>
        <w:t xml:space="preserve"> </w:t>
      </w:r>
    </w:p>
    <w:p w14:paraId="1EA43D32" w14:textId="1BD20A3B" w:rsidR="008D52E8" w:rsidRPr="008D52E8" w:rsidRDefault="001D1C56" w:rsidP="0040268A">
      <w:pPr>
        <w:spacing w:before="120" w:line="360" w:lineRule="auto"/>
        <w:jc w:val="both"/>
        <w:rPr>
          <w:color w:val="auto"/>
          <w:sz w:val="22"/>
          <w:szCs w:val="22"/>
          <w:lang w:val="el-GR"/>
        </w:rPr>
      </w:pPr>
      <w:r>
        <w:rPr>
          <w:sz w:val="22"/>
          <w:szCs w:val="22"/>
          <w:lang w:val="el-GR"/>
        </w:rPr>
        <w:t>Στο περιθώριο της εκδήλωσης</w:t>
      </w:r>
      <w:r w:rsidR="00507CA9">
        <w:rPr>
          <w:sz w:val="22"/>
          <w:szCs w:val="22"/>
          <w:lang w:val="el-GR"/>
        </w:rPr>
        <w:t>,</w:t>
      </w:r>
      <w:r w:rsidR="0040268A" w:rsidRPr="0040268A">
        <w:rPr>
          <w:sz w:val="22"/>
          <w:szCs w:val="22"/>
          <w:lang w:val="el-GR"/>
        </w:rPr>
        <w:t xml:space="preserve"> </w:t>
      </w:r>
      <w:r w:rsidR="008D52E8">
        <w:rPr>
          <w:sz w:val="22"/>
          <w:szCs w:val="22"/>
          <w:lang w:val="el-GR"/>
        </w:rPr>
        <w:t>ο</w:t>
      </w:r>
      <w:r w:rsidR="00E500BB">
        <w:rPr>
          <w:sz w:val="22"/>
          <w:szCs w:val="22"/>
          <w:lang w:val="el-GR"/>
        </w:rPr>
        <w:t xml:space="preserve"> κ. </w:t>
      </w:r>
      <w:proofErr w:type="spellStart"/>
      <w:r w:rsidR="00E500BB" w:rsidRPr="0063688D">
        <w:rPr>
          <w:color w:val="auto"/>
          <w:sz w:val="22"/>
          <w:szCs w:val="22"/>
          <w:lang w:val="el-GR"/>
        </w:rPr>
        <w:t>Γαρδικιώτης</w:t>
      </w:r>
      <w:proofErr w:type="spellEnd"/>
      <w:r w:rsidR="00E500BB">
        <w:rPr>
          <w:color w:val="auto"/>
          <w:sz w:val="22"/>
          <w:szCs w:val="22"/>
          <w:lang w:val="el-GR"/>
        </w:rPr>
        <w:t xml:space="preserve"> </w:t>
      </w:r>
      <w:r w:rsidR="00B84943">
        <w:rPr>
          <w:color w:val="auto"/>
          <w:sz w:val="22"/>
          <w:szCs w:val="22"/>
          <w:lang w:val="el-GR"/>
        </w:rPr>
        <w:t>τόνισε</w:t>
      </w:r>
      <w:r>
        <w:rPr>
          <w:color w:val="auto"/>
          <w:sz w:val="22"/>
          <w:szCs w:val="22"/>
          <w:lang w:val="el-GR"/>
        </w:rPr>
        <w:t>:</w:t>
      </w:r>
      <w:r w:rsidR="00E500BB" w:rsidRPr="008D52E8">
        <w:rPr>
          <w:color w:val="auto"/>
          <w:sz w:val="22"/>
          <w:szCs w:val="22"/>
          <w:lang w:val="el-GR"/>
        </w:rPr>
        <w:t xml:space="preserve"> </w:t>
      </w:r>
      <w:r w:rsidR="008D52E8" w:rsidRPr="008D52E8">
        <w:rPr>
          <w:color w:val="auto"/>
          <w:sz w:val="22"/>
          <w:szCs w:val="22"/>
          <w:lang w:val="el-GR"/>
        </w:rPr>
        <w:t>«</w:t>
      </w:r>
      <w:r w:rsidR="008D52E8" w:rsidRPr="008D52E8">
        <w:rPr>
          <w:i/>
          <w:iCs/>
          <w:color w:val="auto"/>
          <w:sz w:val="22"/>
          <w:szCs w:val="22"/>
          <w:lang w:val="el-GR"/>
        </w:rPr>
        <w:t xml:space="preserve">Ως Τράπεζα της Ελλάδος, πρωτοπορούμε στην προώθηση της καινοτομίας και στη συνεργασία με όλους τους εμπλεκόμενους – επαγγελματίες ICT, </w:t>
      </w:r>
      <w:proofErr w:type="spellStart"/>
      <w:r w:rsidR="008D52E8" w:rsidRPr="008D52E8">
        <w:rPr>
          <w:i/>
          <w:iCs/>
          <w:color w:val="auto"/>
          <w:sz w:val="22"/>
          <w:szCs w:val="22"/>
          <w:lang w:val="el-GR"/>
        </w:rPr>
        <w:t>startupers</w:t>
      </w:r>
      <w:proofErr w:type="spellEnd"/>
      <w:r w:rsidR="008D52E8" w:rsidRPr="008D52E8">
        <w:rPr>
          <w:i/>
          <w:iCs/>
          <w:color w:val="auto"/>
          <w:sz w:val="22"/>
          <w:szCs w:val="22"/>
          <w:lang w:val="el-GR"/>
        </w:rPr>
        <w:t xml:space="preserve"> και την ακαδημαϊκή κοινότητα – όχι μόνο παρέχοντας δεδομένα και συμμετέχοντας στη διοργάνωση, αλλά και προσφέροντας ουσιαστική υποστήριξη και </w:t>
      </w:r>
      <w:proofErr w:type="spellStart"/>
      <w:r w:rsidR="008D52E8" w:rsidRPr="008D52E8">
        <w:rPr>
          <w:i/>
          <w:iCs/>
          <w:color w:val="auto"/>
          <w:sz w:val="22"/>
          <w:szCs w:val="22"/>
          <w:lang w:val="el-GR"/>
        </w:rPr>
        <w:t>mentorship</w:t>
      </w:r>
      <w:proofErr w:type="spellEnd"/>
      <w:r w:rsidR="008D52E8" w:rsidRPr="008D52E8">
        <w:rPr>
          <w:i/>
          <w:iCs/>
          <w:color w:val="auto"/>
          <w:sz w:val="22"/>
          <w:szCs w:val="22"/>
          <w:lang w:val="el-GR"/>
        </w:rPr>
        <w:t xml:space="preserve"> μέσω της δυναμικής παρουσίας στελεχών μας με γνώση και εμπειρία. Το </w:t>
      </w:r>
      <w:proofErr w:type="spellStart"/>
      <w:r w:rsidR="008D52E8" w:rsidRPr="008D52E8">
        <w:rPr>
          <w:i/>
          <w:iCs/>
          <w:color w:val="auto"/>
          <w:sz w:val="22"/>
          <w:szCs w:val="22"/>
          <w:lang w:val="el-GR"/>
        </w:rPr>
        <w:t>Datathon</w:t>
      </w:r>
      <w:proofErr w:type="spellEnd"/>
      <w:r w:rsidR="008D52E8" w:rsidRPr="008D52E8">
        <w:rPr>
          <w:i/>
          <w:iCs/>
          <w:color w:val="auto"/>
          <w:sz w:val="22"/>
          <w:szCs w:val="22"/>
          <w:lang w:val="el-GR"/>
        </w:rPr>
        <w:t xml:space="preserve"> είναι η ζωντανή απόδειξη ότι η συνεργασία και η ανοιχτή πρόσβαση στα δεδομένα μπορούν να γεννήσουν λύσεις που προωθούν τον ψηφιακό μετασχηματισμό σε κρίσιμους τομείς της οικονομίας</w:t>
      </w:r>
      <w:r w:rsidR="008D52E8" w:rsidRPr="008D52E8">
        <w:rPr>
          <w:color w:val="auto"/>
          <w:sz w:val="22"/>
          <w:szCs w:val="22"/>
          <w:lang w:val="el-GR"/>
        </w:rPr>
        <w:t>»</w:t>
      </w:r>
      <w:r w:rsidR="008D52E8">
        <w:rPr>
          <w:color w:val="auto"/>
          <w:sz w:val="22"/>
          <w:szCs w:val="22"/>
          <w:lang w:val="el-GR"/>
        </w:rPr>
        <w:t>.</w:t>
      </w:r>
    </w:p>
    <w:p w14:paraId="5FDD8B34" w14:textId="4A46458C" w:rsidR="00DD5025" w:rsidRPr="00DD5025" w:rsidRDefault="00606D18" w:rsidP="00DD5025">
      <w:pPr>
        <w:spacing w:before="120" w:line="360" w:lineRule="auto"/>
        <w:jc w:val="both"/>
        <w:rPr>
          <w:color w:val="auto"/>
          <w:sz w:val="22"/>
          <w:szCs w:val="22"/>
          <w:lang w:val="el-GR"/>
        </w:rPr>
      </w:pPr>
      <w:r w:rsidRPr="00DD5025">
        <w:rPr>
          <w:sz w:val="22"/>
          <w:szCs w:val="22"/>
          <w:lang w:val="el-GR"/>
        </w:rPr>
        <w:t>Ο</w:t>
      </w:r>
      <w:r w:rsidR="0040268A" w:rsidRPr="00DD5025">
        <w:rPr>
          <w:sz w:val="22"/>
          <w:szCs w:val="22"/>
          <w:lang w:val="el-GR"/>
        </w:rPr>
        <w:t xml:space="preserve"> </w:t>
      </w:r>
      <w:r w:rsidR="00F110D7" w:rsidRPr="00DD5025">
        <w:rPr>
          <w:sz w:val="22"/>
          <w:szCs w:val="22"/>
          <w:lang w:val="el-GR"/>
        </w:rPr>
        <w:t>κ.</w:t>
      </w:r>
      <w:r w:rsidR="0040268A" w:rsidRPr="00DD5025">
        <w:rPr>
          <w:color w:val="auto"/>
          <w:sz w:val="22"/>
          <w:szCs w:val="22"/>
          <w:lang w:val="el-GR"/>
        </w:rPr>
        <w:t xml:space="preserve"> Μελίδης </w:t>
      </w:r>
      <w:r w:rsidR="003C61DD" w:rsidRPr="00DD5025">
        <w:rPr>
          <w:color w:val="auto"/>
          <w:sz w:val="22"/>
          <w:szCs w:val="22"/>
          <w:lang w:val="el-GR"/>
        </w:rPr>
        <w:t xml:space="preserve">από την πλευρά του </w:t>
      </w:r>
      <w:r w:rsidR="00B84943" w:rsidRPr="00DD5025">
        <w:rPr>
          <w:color w:val="auto"/>
          <w:sz w:val="22"/>
          <w:szCs w:val="22"/>
          <w:lang w:val="el-GR"/>
        </w:rPr>
        <w:t>ανέφερε</w:t>
      </w:r>
      <w:r w:rsidR="001D1C56" w:rsidRPr="00DD5025">
        <w:rPr>
          <w:color w:val="auto"/>
          <w:sz w:val="22"/>
          <w:szCs w:val="22"/>
          <w:lang w:val="el-GR"/>
        </w:rPr>
        <w:t>:</w:t>
      </w:r>
      <w:r w:rsidR="00EB4992" w:rsidRPr="00DD5025">
        <w:rPr>
          <w:color w:val="auto"/>
          <w:sz w:val="22"/>
          <w:szCs w:val="22"/>
          <w:lang w:val="el-GR"/>
        </w:rPr>
        <w:t xml:space="preserve"> </w:t>
      </w:r>
      <w:r w:rsidR="00DD5025" w:rsidRPr="00004838">
        <w:rPr>
          <w:i/>
          <w:iCs/>
          <w:color w:val="auto"/>
          <w:sz w:val="22"/>
          <w:szCs w:val="22"/>
          <w:lang w:val="el-GR"/>
        </w:rPr>
        <w:t xml:space="preserve">«Η επιτυχημένη διοργάνωση του </w:t>
      </w:r>
      <w:proofErr w:type="spellStart"/>
      <w:r w:rsidR="00DD5025" w:rsidRPr="00004838">
        <w:rPr>
          <w:i/>
          <w:iCs/>
          <w:color w:val="auto"/>
          <w:sz w:val="22"/>
          <w:szCs w:val="22"/>
          <w:lang w:val="el-GR"/>
        </w:rPr>
        <w:t>Datathon</w:t>
      </w:r>
      <w:proofErr w:type="spellEnd"/>
      <w:r w:rsidR="00DD5025" w:rsidRPr="00004838">
        <w:rPr>
          <w:i/>
          <w:iCs/>
          <w:color w:val="auto"/>
          <w:sz w:val="22"/>
          <w:szCs w:val="22"/>
          <w:lang w:val="el-GR"/>
        </w:rPr>
        <w:t xml:space="preserve"> της Τράπεζας της Ελλάδος αποδεικνύει στην πράξη τη δυναμική που έχει η αξιοποίηση των ανοιχτών δεδομένων στη χώρα μας. Οι ομάδες που συμμετείχαν ανέδειξαν καινοτόμες λύσεις και προτάσεις πολιτικής για κρίσιμα ζητήματα όπως η στεγαστική </w:t>
      </w:r>
      <w:proofErr w:type="spellStart"/>
      <w:r w:rsidR="00DD5025" w:rsidRPr="00004838">
        <w:rPr>
          <w:i/>
          <w:iCs/>
          <w:color w:val="auto"/>
          <w:sz w:val="22"/>
          <w:szCs w:val="22"/>
          <w:lang w:val="el-GR"/>
        </w:rPr>
        <w:t>προσιτότητα</w:t>
      </w:r>
      <w:proofErr w:type="spellEnd"/>
      <w:r w:rsidR="00DD5025" w:rsidRPr="00004838">
        <w:rPr>
          <w:i/>
          <w:iCs/>
          <w:color w:val="auto"/>
          <w:sz w:val="22"/>
          <w:szCs w:val="22"/>
          <w:lang w:val="el-GR"/>
        </w:rPr>
        <w:t xml:space="preserve"> και ο βιώσιμος τουρισμός, αποδεικνύοντας ότι η ελληνική κοινότητα ανοιχτών τεχνολογιών και δεδομένων είναι έτοιμη να συμβάλει ουσιαστικά στον ψηφιακό μετασχηματισμό της οικονομίας.</w:t>
      </w:r>
    </w:p>
    <w:p w14:paraId="43A25B7A" w14:textId="2A6B45AA" w:rsidR="0040268A" w:rsidRPr="00004838" w:rsidRDefault="00DD5025" w:rsidP="00DD5025">
      <w:pPr>
        <w:spacing w:before="120" w:line="360" w:lineRule="auto"/>
        <w:jc w:val="both"/>
        <w:rPr>
          <w:i/>
          <w:iCs/>
          <w:sz w:val="22"/>
          <w:szCs w:val="22"/>
          <w:lang w:val="el-GR"/>
        </w:rPr>
      </w:pPr>
      <w:r w:rsidRPr="00004838">
        <w:rPr>
          <w:i/>
          <w:iCs/>
          <w:color w:val="auto"/>
          <w:sz w:val="22"/>
          <w:szCs w:val="22"/>
          <w:lang w:val="el-GR"/>
        </w:rPr>
        <w:t>Η συνεργασία της ΕΕΛΛΑΚ με την Τράπεζα της Ελλάδος αποτελεί υπόδειγμα σύμπραξης φορέων δημοσίου συμφέροντος με την κοινωνία των πολιτών για την προώθηση της ανοιχτής καινοτομίας. Ευχαριστούμε όλους τους συμμετέχοντες, τους εθελοντές και τους συνεργάτες μας που έκαναν αυτή τη διοργάνωση πραγματικότητα»</w:t>
      </w:r>
      <w:r w:rsidR="00004838" w:rsidRPr="00004838">
        <w:rPr>
          <w:i/>
          <w:iCs/>
          <w:color w:val="auto"/>
          <w:sz w:val="22"/>
          <w:szCs w:val="22"/>
          <w:lang w:val="el-GR"/>
        </w:rPr>
        <w:t>.</w:t>
      </w:r>
    </w:p>
    <w:p w14:paraId="2C41593B" w14:textId="0D481DFB" w:rsidR="00BC696F" w:rsidRPr="00BC696F" w:rsidRDefault="00BC696F" w:rsidP="00BC696F">
      <w:pPr>
        <w:spacing w:before="120" w:line="360" w:lineRule="auto"/>
        <w:jc w:val="both"/>
        <w:rPr>
          <w:sz w:val="22"/>
          <w:szCs w:val="22"/>
          <w:lang w:val="el-GR"/>
        </w:rPr>
      </w:pPr>
      <w:r w:rsidRPr="00BC696F">
        <w:rPr>
          <w:sz w:val="22"/>
          <w:szCs w:val="22"/>
          <w:lang w:val="el-GR"/>
        </w:rPr>
        <w:t>Τα τρία Βραβεία κέρδισαν οι ακόλουθες ομάδες:</w:t>
      </w:r>
    </w:p>
    <w:p w14:paraId="6208F7F6" w14:textId="1D8F8FA8" w:rsidR="00BC696F" w:rsidRPr="00163175" w:rsidRDefault="00BC696F" w:rsidP="00BC696F">
      <w:pPr>
        <w:numPr>
          <w:ilvl w:val="0"/>
          <w:numId w:val="7"/>
        </w:numPr>
        <w:spacing w:before="120" w:line="360" w:lineRule="auto"/>
        <w:jc w:val="both"/>
        <w:rPr>
          <w:sz w:val="22"/>
          <w:szCs w:val="22"/>
          <w:lang w:val="el-GR"/>
        </w:rPr>
      </w:pPr>
      <w:r w:rsidRPr="006804BB">
        <w:rPr>
          <w:b/>
          <w:bCs/>
          <w:sz w:val="22"/>
          <w:szCs w:val="22"/>
          <w:lang w:val="el-GR"/>
        </w:rPr>
        <w:t>1</w:t>
      </w:r>
      <w:r w:rsidRPr="006804BB">
        <w:rPr>
          <w:b/>
          <w:bCs/>
          <w:sz w:val="22"/>
          <w:szCs w:val="22"/>
          <w:vertAlign w:val="superscript"/>
          <w:lang w:val="el-GR"/>
        </w:rPr>
        <w:t>ο</w:t>
      </w:r>
      <w:r w:rsidRPr="006804BB">
        <w:rPr>
          <w:b/>
          <w:bCs/>
          <w:sz w:val="22"/>
          <w:szCs w:val="22"/>
          <w:lang w:val="el-GR"/>
        </w:rPr>
        <w:t xml:space="preserve"> Βραβείο (Έπαθλο €3.000): </w:t>
      </w:r>
      <w:proofErr w:type="spellStart"/>
      <w:r w:rsidR="002E07C6" w:rsidRPr="006804BB">
        <w:rPr>
          <w:b/>
          <w:bCs/>
          <w:sz w:val="22"/>
          <w:szCs w:val="22"/>
        </w:rPr>
        <w:t>ProperLy</w:t>
      </w:r>
      <w:proofErr w:type="spellEnd"/>
      <w:r w:rsidR="00163175">
        <w:rPr>
          <w:b/>
          <w:bCs/>
          <w:sz w:val="22"/>
          <w:szCs w:val="22"/>
          <w:lang w:val="el-GR"/>
        </w:rPr>
        <w:t xml:space="preserve">. </w:t>
      </w:r>
      <w:r w:rsidR="00163175" w:rsidRPr="00163175">
        <w:rPr>
          <w:sz w:val="22"/>
          <w:szCs w:val="22"/>
          <w:lang w:val="el-GR"/>
        </w:rPr>
        <w:t xml:space="preserve">Η ομάδα </w:t>
      </w:r>
      <w:r w:rsidR="0072429F">
        <w:rPr>
          <w:sz w:val="22"/>
          <w:szCs w:val="22"/>
          <w:lang w:val="el-GR"/>
        </w:rPr>
        <w:t>σχεδίασε</w:t>
      </w:r>
      <w:r w:rsidR="0072429F" w:rsidRPr="00163175">
        <w:rPr>
          <w:sz w:val="22"/>
          <w:szCs w:val="22"/>
          <w:lang w:val="el-GR"/>
        </w:rPr>
        <w:t xml:space="preserve"> </w:t>
      </w:r>
      <w:r w:rsidR="00163175" w:rsidRPr="00163175">
        <w:rPr>
          <w:sz w:val="22"/>
          <w:szCs w:val="22"/>
          <w:lang w:val="el-GR"/>
        </w:rPr>
        <w:t xml:space="preserve">μία </w:t>
      </w:r>
      <w:r w:rsidR="00042CAC">
        <w:rPr>
          <w:sz w:val="22"/>
          <w:szCs w:val="22"/>
          <w:lang w:val="en-US"/>
        </w:rPr>
        <w:t>w</w:t>
      </w:r>
      <w:proofErr w:type="spellStart"/>
      <w:r w:rsidR="00042CAC" w:rsidRPr="00163175">
        <w:rPr>
          <w:sz w:val="22"/>
          <w:szCs w:val="22"/>
          <w:lang w:val="el-GR"/>
        </w:rPr>
        <w:t>eb</w:t>
      </w:r>
      <w:proofErr w:type="spellEnd"/>
      <w:r w:rsidR="00042CAC" w:rsidRPr="00163175">
        <w:rPr>
          <w:sz w:val="22"/>
          <w:szCs w:val="22"/>
          <w:lang w:val="el-GR"/>
        </w:rPr>
        <w:t xml:space="preserve"> </w:t>
      </w:r>
      <w:proofErr w:type="spellStart"/>
      <w:r w:rsidR="00163175" w:rsidRPr="00163175">
        <w:rPr>
          <w:sz w:val="22"/>
          <w:szCs w:val="22"/>
          <w:lang w:val="el-GR"/>
        </w:rPr>
        <w:t>based</w:t>
      </w:r>
      <w:proofErr w:type="spellEnd"/>
      <w:r w:rsidR="00163175" w:rsidRPr="00163175">
        <w:rPr>
          <w:sz w:val="22"/>
          <w:szCs w:val="22"/>
          <w:lang w:val="el-GR"/>
        </w:rPr>
        <w:t xml:space="preserve"> πλατφόρμα </w:t>
      </w:r>
      <w:r w:rsidR="001C1317">
        <w:rPr>
          <w:sz w:val="22"/>
          <w:szCs w:val="22"/>
          <w:lang w:val="el-GR"/>
        </w:rPr>
        <w:t xml:space="preserve">που επιτρέπει την </w:t>
      </w:r>
      <w:r w:rsidR="00163175" w:rsidRPr="00163175">
        <w:rPr>
          <w:sz w:val="22"/>
          <w:szCs w:val="22"/>
          <w:lang w:val="el-GR"/>
        </w:rPr>
        <w:t xml:space="preserve">ολοκληρωμένη αξιολόγηση </w:t>
      </w:r>
      <w:r w:rsidR="001C1317">
        <w:rPr>
          <w:sz w:val="22"/>
          <w:szCs w:val="22"/>
          <w:lang w:val="el-GR"/>
        </w:rPr>
        <w:t>υποψήφιων για</w:t>
      </w:r>
      <w:r w:rsidR="001C1317" w:rsidRPr="00163175">
        <w:rPr>
          <w:sz w:val="22"/>
          <w:szCs w:val="22"/>
          <w:lang w:val="el-GR"/>
        </w:rPr>
        <w:t xml:space="preserve"> αγορά </w:t>
      </w:r>
      <w:r w:rsidR="0072429F" w:rsidRPr="00163175">
        <w:rPr>
          <w:sz w:val="22"/>
          <w:szCs w:val="22"/>
          <w:lang w:val="el-GR"/>
        </w:rPr>
        <w:t>ακινήτ</w:t>
      </w:r>
      <w:r w:rsidR="001C1317">
        <w:rPr>
          <w:sz w:val="22"/>
          <w:szCs w:val="22"/>
          <w:lang w:val="el-GR"/>
        </w:rPr>
        <w:t>ων</w:t>
      </w:r>
      <w:r w:rsidR="0072429F" w:rsidRPr="00163175">
        <w:rPr>
          <w:sz w:val="22"/>
          <w:szCs w:val="22"/>
          <w:lang w:val="el-GR"/>
        </w:rPr>
        <w:t xml:space="preserve"> </w:t>
      </w:r>
      <w:r w:rsidR="00163175" w:rsidRPr="00163175">
        <w:rPr>
          <w:sz w:val="22"/>
          <w:szCs w:val="22"/>
          <w:lang w:val="el-GR"/>
        </w:rPr>
        <w:t xml:space="preserve">με τη χρήση </w:t>
      </w:r>
      <w:r w:rsidR="005D4F1E">
        <w:rPr>
          <w:sz w:val="22"/>
          <w:szCs w:val="22"/>
          <w:lang w:val="el-GR"/>
        </w:rPr>
        <w:t>α</w:t>
      </w:r>
      <w:r w:rsidR="00163175" w:rsidRPr="00163175">
        <w:rPr>
          <w:sz w:val="22"/>
          <w:szCs w:val="22"/>
          <w:lang w:val="el-GR"/>
        </w:rPr>
        <w:t xml:space="preserve">νοικτών </w:t>
      </w:r>
      <w:r w:rsidR="005D4F1E">
        <w:rPr>
          <w:sz w:val="22"/>
          <w:szCs w:val="22"/>
          <w:lang w:val="el-GR"/>
        </w:rPr>
        <w:t>δ</w:t>
      </w:r>
      <w:r w:rsidR="00163175" w:rsidRPr="00163175">
        <w:rPr>
          <w:sz w:val="22"/>
          <w:szCs w:val="22"/>
          <w:lang w:val="el-GR"/>
        </w:rPr>
        <w:t>εδομένων.</w:t>
      </w:r>
    </w:p>
    <w:p w14:paraId="0D1D75CE" w14:textId="42F2A34C" w:rsidR="00BC696F" w:rsidRPr="00163175" w:rsidRDefault="00BC696F" w:rsidP="00BC696F">
      <w:pPr>
        <w:numPr>
          <w:ilvl w:val="0"/>
          <w:numId w:val="8"/>
        </w:numPr>
        <w:spacing w:before="120" w:line="360" w:lineRule="auto"/>
        <w:jc w:val="both"/>
        <w:rPr>
          <w:sz w:val="22"/>
          <w:szCs w:val="22"/>
          <w:lang w:val="el-GR"/>
        </w:rPr>
      </w:pPr>
      <w:r w:rsidRPr="00163175">
        <w:rPr>
          <w:b/>
          <w:bCs/>
          <w:sz w:val="22"/>
          <w:szCs w:val="22"/>
          <w:lang w:val="el-GR"/>
        </w:rPr>
        <w:lastRenderedPageBreak/>
        <w:t>2</w:t>
      </w:r>
      <w:r w:rsidRPr="006804BB">
        <w:rPr>
          <w:b/>
          <w:bCs/>
          <w:sz w:val="22"/>
          <w:szCs w:val="22"/>
          <w:vertAlign w:val="superscript"/>
          <w:lang w:val="el-GR"/>
        </w:rPr>
        <w:t>ο</w:t>
      </w:r>
      <w:r w:rsidRPr="006804BB">
        <w:rPr>
          <w:b/>
          <w:bCs/>
          <w:sz w:val="22"/>
          <w:szCs w:val="22"/>
          <w:lang w:val="en-US"/>
        </w:rPr>
        <w:t> </w:t>
      </w:r>
      <w:r w:rsidRPr="006804BB">
        <w:rPr>
          <w:b/>
          <w:bCs/>
          <w:sz w:val="22"/>
          <w:szCs w:val="22"/>
          <w:lang w:val="el-GR"/>
        </w:rPr>
        <w:t>Βραβείο</w:t>
      </w:r>
      <w:r w:rsidRPr="00163175">
        <w:rPr>
          <w:b/>
          <w:bCs/>
          <w:sz w:val="22"/>
          <w:szCs w:val="22"/>
          <w:lang w:val="el-GR"/>
        </w:rPr>
        <w:t xml:space="preserve"> (</w:t>
      </w:r>
      <w:r w:rsidRPr="006804BB">
        <w:rPr>
          <w:b/>
          <w:bCs/>
          <w:sz w:val="22"/>
          <w:szCs w:val="22"/>
          <w:lang w:val="el-GR"/>
        </w:rPr>
        <w:t>Έπαθλο</w:t>
      </w:r>
      <w:r w:rsidRPr="00163175">
        <w:rPr>
          <w:b/>
          <w:bCs/>
          <w:sz w:val="22"/>
          <w:szCs w:val="22"/>
          <w:lang w:val="el-GR"/>
        </w:rPr>
        <w:t xml:space="preserve"> €2.000): </w:t>
      </w:r>
      <w:r w:rsidR="002E07C6" w:rsidRPr="006804BB">
        <w:rPr>
          <w:b/>
          <w:bCs/>
          <w:sz w:val="22"/>
          <w:szCs w:val="22"/>
        </w:rPr>
        <w:t>GORDIA</w:t>
      </w:r>
      <w:r w:rsidR="002E07C6" w:rsidRPr="00163175">
        <w:rPr>
          <w:b/>
          <w:bCs/>
          <w:sz w:val="22"/>
          <w:szCs w:val="22"/>
          <w:lang w:val="el-GR"/>
        </w:rPr>
        <w:t>-</w:t>
      </w:r>
      <w:r w:rsidR="002E07C6" w:rsidRPr="006804BB">
        <w:rPr>
          <w:b/>
          <w:bCs/>
          <w:sz w:val="22"/>
          <w:szCs w:val="22"/>
        </w:rPr>
        <w:t>NOT</w:t>
      </w:r>
      <w:r w:rsidR="00163175">
        <w:rPr>
          <w:b/>
          <w:bCs/>
          <w:sz w:val="22"/>
          <w:szCs w:val="22"/>
          <w:lang w:val="el-GR"/>
        </w:rPr>
        <w:t xml:space="preserve">. </w:t>
      </w:r>
      <w:r w:rsidR="00163175" w:rsidRPr="00163175">
        <w:rPr>
          <w:sz w:val="22"/>
          <w:szCs w:val="22"/>
          <w:lang w:val="el-GR"/>
        </w:rPr>
        <w:t xml:space="preserve">Πρόκειται για μία δυναμική διαμόρφωση πρότασης </w:t>
      </w:r>
      <w:r w:rsidR="001C1317" w:rsidRPr="00413A81">
        <w:rPr>
          <w:sz w:val="22"/>
          <w:szCs w:val="22"/>
          <w:lang w:val="el-GR"/>
        </w:rPr>
        <w:t xml:space="preserve">τουριστικής </w:t>
      </w:r>
      <w:r w:rsidR="00163175" w:rsidRPr="00413A81">
        <w:rPr>
          <w:sz w:val="22"/>
          <w:szCs w:val="22"/>
          <w:lang w:val="el-GR"/>
        </w:rPr>
        <w:t>πολιτικής</w:t>
      </w:r>
      <w:r w:rsidR="001C1317" w:rsidRPr="00413A81">
        <w:rPr>
          <w:sz w:val="22"/>
          <w:szCs w:val="22"/>
          <w:lang w:val="el-GR"/>
        </w:rPr>
        <w:t>,</w:t>
      </w:r>
      <w:r w:rsidR="00163175" w:rsidRPr="00163175">
        <w:rPr>
          <w:sz w:val="22"/>
          <w:szCs w:val="22"/>
          <w:lang w:val="el-GR"/>
        </w:rPr>
        <w:t xml:space="preserve"> που απευθύνεται σε υπεύθυνους χάραξης πολιτικής σε επίπεδο περιφέρειας, περιφερειακής ενότητας ή δήμου.</w:t>
      </w:r>
    </w:p>
    <w:p w14:paraId="3E3D26B8" w14:textId="2338F41A" w:rsidR="00BC696F" w:rsidRPr="00163175" w:rsidRDefault="00BC696F" w:rsidP="004B0A4D">
      <w:pPr>
        <w:numPr>
          <w:ilvl w:val="0"/>
          <w:numId w:val="8"/>
        </w:numPr>
        <w:spacing w:before="120" w:line="360" w:lineRule="auto"/>
        <w:jc w:val="both"/>
        <w:rPr>
          <w:sz w:val="22"/>
          <w:szCs w:val="22"/>
          <w:lang w:val="el-GR"/>
        </w:rPr>
      </w:pPr>
      <w:r w:rsidRPr="00163175">
        <w:rPr>
          <w:b/>
          <w:bCs/>
          <w:sz w:val="22"/>
          <w:szCs w:val="22"/>
          <w:lang w:val="el-GR"/>
        </w:rPr>
        <w:t>3</w:t>
      </w:r>
      <w:r w:rsidRPr="00163175">
        <w:rPr>
          <w:b/>
          <w:bCs/>
          <w:sz w:val="22"/>
          <w:szCs w:val="22"/>
          <w:vertAlign w:val="superscript"/>
          <w:lang w:val="el-GR"/>
        </w:rPr>
        <w:t>ο</w:t>
      </w:r>
      <w:r w:rsidRPr="00163175">
        <w:rPr>
          <w:b/>
          <w:bCs/>
          <w:sz w:val="22"/>
          <w:szCs w:val="22"/>
          <w:lang w:val="en-US"/>
        </w:rPr>
        <w:t> </w:t>
      </w:r>
      <w:r w:rsidRPr="00163175">
        <w:rPr>
          <w:b/>
          <w:bCs/>
          <w:sz w:val="22"/>
          <w:szCs w:val="22"/>
          <w:lang w:val="el-GR"/>
        </w:rPr>
        <w:t xml:space="preserve">Βραβείο (Έπαθλο €1.000): </w:t>
      </w:r>
      <w:r w:rsidR="002E07C6" w:rsidRPr="00163175">
        <w:rPr>
          <w:b/>
          <w:bCs/>
          <w:sz w:val="22"/>
          <w:szCs w:val="22"/>
        </w:rPr>
        <w:t>Flow</w:t>
      </w:r>
      <w:r w:rsidR="002E07C6" w:rsidRPr="00163175">
        <w:rPr>
          <w:b/>
          <w:bCs/>
          <w:sz w:val="22"/>
          <w:szCs w:val="22"/>
          <w:lang w:val="el-GR"/>
        </w:rPr>
        <w:t xml:space="preserve"> </w:t>
      </w:r>
      <w:r w:rsidR="002E07C6" w:rsidRPr="00163175">
        <w:rPr>
          <w:b/>
          <w:bCs/>
          <w:sz w:val="22"/>
          <w:szCs w:val="22"/>
        </w:rPr>
        <w:t>Map</w:t>
      </w:r>
      <w:r w:rsidR="002E07C6" w:rsidRPr="00163175">
        <w:rPr>
          <w:b/>
          <w:bCs/>
          <w:sz w:val="22"/>
          <w:szCs w:val="22"/>
          <w:lang w:val="el-GR"/>
        </w:rPr>
        <w:t xml:space="preserve"> </w:t>
      </w:r>
      <w:r w:rsidR="002E07C6" w:rsidRPr="00163175">
        <w:rPr>
          <w:b/>
          <w:bCs/>
          <w:sz w:val="22"/>
          <w:szCs w:val="22"/>
        </w:rPr>
        <w:t>AI</w:t>
      </w:r>
      <w:r w:rsidR="00163175" w:rsidRPr="00163175">
        <w:rPr>
          <w:b/>
          <w:bCs/>
          <w:sz w:val="22"/>
          <w:szCs w:val="22"/>
          <w:lang w:val="el-GR"/>
        </w:rPr>
        <w:t xml:space="preserve">. </w:t>
      </w:r>
      <w:r w:rsidR="00163175" w:rsidRPr="00163175">
        <w:rPr>
          <w:sz w:val="22"/>
          <w:szCs w:val="22"/>
          <w:lang w:val="el-GR"/>
        </w:rPr>
        <w:t>Η ομάδα δημιούργησε μία εφαρμογή που μετατρέπει ανοι</w:t>
      </w:r>
      <w:r w:rsidR="00163175">
        <w:rPr>
          <w:sz w:val="22"/>
          <w:szCs w:val="22"/>
          <w:lang w:val="el-GR"/>
        </w:rPr>
        <w:t>κ</w:t>
      </w:r>
      <w:r w:rsidR="00163175" w:rsidRPr="00163175">
        <w:rPr>
          <w:sz w:val="22"/>
          <w:szCs w:val="22"/>
          <w:lang w:val="el-GR"/>
        </w:rPr>
        <w:t xml:space="preserve">τά δεδομένα με χρήση τεχνητής νοημοσύνης σε ζωντανό χάρτη πρόβλεψης και διαχείρισης τουριστικών ροών σε πραγματικό χρόνο. Βοηθά δήμους, φορείς και επιχειρήσεις να προλαμβάνουν τον </w:t>
      </w:r>
      <w:proofErr w:type="spellStart"/>
      <w:r w:rsidR="00163175" w:rsidRPr="00163175">
        <w:rPr>
          <w:sz w:val="22"/>
          <w:szCs w:val="22"/>
          <w:lang w:val="el-GR"/>
        </w:rPr>
        <w:t>υπερτουρισμό</w:t>
      </w:r>
      <w:proofErr w:type="spellEnd"/>
      <w:r w:rsidR="00163175" w:rsidRPr="00163175">
        <w:rPr>
          <w:sz w:val="22"/>
          <w:szCs w:val="22"/>
          <w:lang w:val="el-GR"/>
        </w:rPr>
        <w:t>,</w:t>
      </w:r>
      <w:r w:rsidR="00163175">
        <w:rPr>
          <w:sz w:val="22"/>
          <w:szCs w:val="22"/>
          <w:lang w:val="el-GR"/>
        </w:rPr>
        <w:t xml:space="preserve"> να</w:t>
      </w:r>
      <w:r w:rsidR="00163175" w:rsidRPr="00163175">
        <w:rPr>
          <w:sz w:val="22"/>
          <w:szCs w:val="22"/>
          <w:lang w:val="el-GR"/>
        </w:rPr>
        <w:t xml:space="preserve"> προστατεύουν το περιβάλλον και </w:t>
      </w:r>
      <w:r w:rsidR="00163175">
        <w:rPr>
          <w:sz w:val="22"/>
          <w:szCs w:val="22"/>
          <w:lang w:val="el-GR"/>
        </w:rPr>
        <w:t xml:space="preserve">να </w:t>
      </w:r>
      <w:r w:rsidR="00163175" w:rsidRPr="00163175">
        <w:rPr>
          <w:sz w:val="22"/>
          <w:szCs w:val="22"/>
          <w:lang w:val="el-GR"/>
        </w:rPr>
        <w:t xml:space="preserve">ενισχύουν τις τοπικές κοινότητες. Παράλληλα, προσφέρει στους ταξιδιώτες </w:t>
      </w:r>
      <w:r w:rsidR="00163175">
        <w:rPr>
          <w:sz w:val="22"/>
          <w:szCs w:val="22"/>
          <w:lang w:val="el-GR"/>
        </w:rPr>
        <w:t>«</w:t>
      </w:r>
      <w:r w:rsidR="00163175" w:rsidRPr="00163175">
        <w:rPr>
          <w:sz w:val="22"/>
          <w:szCs w:val="22"/>
          <w:lang w:val="el-GR"/>
        </w:rPr>
        <w:t>έξυπνη</w:t>
      </w:r>
      <w:r w:rsidR="00163175">
        <w:rPr>
          <w:sz w:val="22"/>
          <w:szCs w:val="22"/>
          <w:lang w:val="el-GR"/>
        </w:rPr>
        <w:t>»</w:t>
      </w:r>
      <w:r w:rsidR="00163175" w:rsidRPr="00163175">
        <w:rPr>
          <w:sz w:val="22"/>
          <w:szCs w:val="22"/>
          <w:lang w:val="el-GR"/>
        </w:rPr>
        <w:t xml:space="preserve"> καθοδήγηση για πιο ποιοτικές, βιώσιμες και αυθεντικές εμπειρίες.</w:t>
      </w:r>
    </w:p>
    <w:p w14:paraId="1E09C27F" w14:textId="5B7D5AAC" w:rsidR="00025311" w:rsidRPr="00025311" w:rsidRDefault="00025311" w:rsidP="00025311">
      <w:pPr>
        <w:spacing w:before="240" w:line="360" w:lineRule="auto"/>
        <w:jc w:val="both"/>
        <w:rPr>
          <w:b/>
          <w:sz w:val="22"/>
          <w:szCs w:val="22"/>
          <w:u w:val="single"/>
          <w:lang w:val="el-GR"/>
        </w:rPr>
      </w:pPr>
      <w:r w:rsidRPr="00025311">
        <w:rPr>
          <w:b/>
          <w:bCs/>
          <w:sz w:val="22"/>
          <w:szCs w:val="22"/>
          <w:u w:val="single"/>
          <w:lang w:val="el-GR"/>
        </w:rPr>
        <w:t>Σχετικ</w:t>
      </w:r>
      <w:r w:rsidR="00EB4992">
        <w:rPr>
          <w:b/>
          <w:bCs/>
          <w:sz w:val="22"/>
          <w:szCs w:val="22"/>
          <w:u w:val="single"/>
          <w:lang w:val="el-GR"/>
        </w:rPr>
        <w:t>οί</w:t>
      </w:r>
      <w:r w:rsidRPr="00025311">
        <w:rPr>
          <w:b/>
          <w:bCs/>
          <w:sz w:val="22"/>
          <w:szCs w:val="22"/>
          <w:u w:val="single"/>
          <w:lang w:val="el-GR"/>
        </w:rPr>
        <w:t xml:space="preserve"> σύνδεσμο</w:t>
      </w:r>
      <w:r w:rsidR="00EB4992">
        <w:rPr>
          <w:b/>
          <w:bCs/>
          <w:sz w:val="22"/>
          <w:szCs w:val="22"/>
          <w:u w:val="single"/>
          <w:lang w:val="el-GR"/>
        </w:rPr>
        <w:t>ι</w:t>
      </w:r>
      <w:r w:rsidRPr="00025311">
        <w:rPr>
          <w:b/>
          <w:bCs/>
          <w:sz w:val="22"/>
          <w:szCs w:val="22"/>
          <w:u w:val="single"/>
          <w:lang w:val="el-GR"/>
        </w:rPr>
        <w:t>:</w:t>
      </w:r>
    </w:p>
    <w:p w14:paraId="77773C6E" w14:textId="4C6C0841" w:rsidR="00025311" w:rsidRPr="00361FBC" w:rsidRDefault="00025311" w:rsidP="00361FBC">
      <w:pPr>
        <w:pStyle w:val="ListParagraph"/>
        <w:numPr>
          <w:ilvl w:val="0"/>
          <w:numId w:val="5"/>
        </w:numPr>
        <w:spacing w:before="240" w:line="360" w:lineRule="auto"/>
        <w:jc w:val="both"/>
        <w:rPr>
          <w:bCs/>
          <w:sz w:val="22"/>
          <w:szCs w:val="22"/>
          <w:lang w:val="el-GR"/>
        </w:rPr>
      </w:pPr>
      <w:r w:rsidRPr="00361FBC">
        <w:rPr>
          <w:bCs/>
          <w:sz w:val="22"/>
          <w:szCs w:val="22"/>
          <w:lang w:val="el-GR"/>
        </w:rPr>
        <w:t>Δείτε περισσότερα στο </w:t>
      </w:r>
      <w:proofErr w:type="spellStart"/>
      <w:r w:rsidRPr="00361FBC">
        <w:rPr>
          <w:bCs/>
          <w:sz w:val="22"/>
          <w:szCs w:val="22"/>
          <w:lang w:val="el-GR"/>
        </w:rPr>
        <w:t>microsite</w:t>
      </w:r>
      <w:proofErr w:type="spellEnd"/>
      <w:r w:rsidRPr="00361FBC">
        <w:rPr>
          <w:bCs/>
          <w:sz w:val="22"/>
          <w:szCs w:val="22"/>
          <w:lang w:val="el-GR"/>
        </w:rPr>
        <w:t> του διαγωνισμού</w:t>
      </w:r>
      <w:r w:rsidR="00DB7DE7">
        <w:rPr>
          <w:bCs/>
          <w:sz w:val="22"/>
          <w:szCs w:val="22"/>
          <w:lang w:val="el-GR"/>
        </w:rPr>
        <w:t>:</w:t>
      </w:r>
      <w:r w:rsidR="00361FBC" w:rsidRPr="00361FBC">
        <w:rPr>
          <w:bCs/>
          <w:sz w:val="22"/>
          <w:szCs w:val="22"/>
          <w:lang w:val="el-GR"/>
        </w:rPr>
        <w:t xml:space="preserve"> </w:t>
      </w:r>
      <w:hyperlink r:id="rId10">
        <w:r w:rsidR="00361FBC" w:rsidRPr="00361FBC">
          <w:rPr>
            <w:color w:val="0000FF"/>
            <w:sz w:val="22"/>
            <w:szCs w:val="22"/>
            <w:u w:val="single"/>
          </w:rPr>
          <w:t>https</w:t>
        </w:r>
        <w:r w:rsidR="00361FBC" w:rsidRPr="00361FBC">
          <w:rPr>
            <w:color w:val="0000FF"/>
            <w:sz w:val="22"/>
            <w:szCs w:val="22"/>
            <w:u w:val="single"/>
            <w:lang w:val="el-GR"/>
          </w:rPr>
          <w:t>://</w:t>
        </w:r>
        <w:r w:rsidR="00361FBC" w:rsidRPr="00361FBC">
          <w:rPr>
            <w:color w:val="0000FF"/>
            <w:sz w:val="22"/>
            <w:szCs w:val="22"/>
            <w:u w:val="single"/>
          </w:rPr>
          <w:t>bog</w:t>
        </w:r>
        <w:r w:rsidR="00361FBC" w:rsidRPr="00361FBC">
          <w:rPr>
            <w:color w:val="0000FF"/>
            <w:sz w:val="22"/>
            <w:szCs w:val="22"/>
            <w:u w:val="single"/>
            <w:lang w:val="el-GR"/>
          </w:rPr>
          <w:t>25.</w:t>
        </w:r>
        <w:proofErr w:type="spellStart"/>
        <w:r w:rsidR="00361FBC" w:rsidRPr="00361FBC">
          <w:rPr>
            <w:color w:val="0000FF"/>
            <w:sz w:val="22"/>
            <w:szCs w:val="22"/>
            <w:u w:val="single"/>
          </w:rPr>
          <w:t>datathon</w:t>
        </w:r>
        <w:proofErr w:type="spellEnd"/>
        <w:r w:rsidR="00361FBC" w:rsidRPr="00361FBC">
          <w:rPr>
            <w:color w:val="0000FF"/>
            <w:sz w:val="22"/>
            <w:szCs w:val="22"/>
            <w:u w:val="single"/>
            <w:lang w:val="el-GR"/>
          </w:rPr>
          <w:t>.</w:t>
        </w:r>
        <w:r w:rsidR="00361FBC" w:rsidRPr="00361FBC">
          <w:rPr>
            <w:color w:val="0000FF"/>
            <w:sz w:val="22"/>
            <w:szCs w:val="22"/>
            <w:u w:val="single"/>
          </w:rPr>
          <w:t>gr</w:t>
        </w:r>
        <w:r w:rsidR="00361FBC" w:rsidRPr="00361FBC">
          <w:rPr>
            <w:color w:val="0000FF"/>
            <w:sz w:val="22"/>
            <w:szCs w:val="22"/>
            <w:u w:val="single"/>
            <w:lang w:val="el-GR"/>
          </w:rPr>
          <w:t>/</w:t>
        </w:r>
      </w:hyperlink>
      <w:r w:rsidR="00361FBC" w:rsidRPr="00361FBC">
        <w:rPr>
          <w:sz w:val="22"/>
          <w:szCs w:val="22"/>
          <w:lang w:val="el-GR"/>
        </w:rPr>
        <w:t>.</w:t>
      </w:r>
    </w:p>
    <w:p w14:paraId="0A571811" w14:textId="441E0730" w:rsidR="00361FBC" w:rsidRPr="00361FBC" w:rsidRDefault="00361FBC" w:rsidP="00361FBC">
      <w:pPr>
        <w:pStyle w:val="ListParagraph"/>
        <w:numPr>
          <w:ilvl w:val="0"/>
          <w:numId w:val="5"/>
        </w:numPr>
        <w:spacing w:before="240" w:line="360" w:lineRule="auto"/>
        <w:jc w:val="both"/>
        <w:rPr>
          <w:bCs/>
          <w:sz w:val="22"/>
          <w:szCs w:val="22"/>
          <w:lang w:val="el-GR"/>
        </w:rPr>
      </w:pPr>
      <w:r>
        <w:rPr>
          <w:sz w:val="22"/>
          <w:szCs w:val="22"/>
          <w:lang w:val="el-GR"/>
        </w:rPr>
        <w:t xml:space="preserve">Δείτε </w:t>
      </w:r>
      <w:r w:rsidRPr="005655D3">
        <w:rPr>
          <w:sz w:val="22"/>
          <w:szCs w:val="22"/>
          <w:lang w:val="el-GR"/>
        </w:rPr>
        <w:t xml:space="preserve">το </w:t>
      </w:r>
      <w:hyperlink r:id="rId11" w:history="1">
        <w:r w:rsidRPr="005655D3">
          <w:rPr>
            <w:rStyle w:val="Hyperlink"/>
            <w:sz w:val="22"/>
            <w:szCs w:val="22"/>
            <w:lang w:val="el-GR"/>
          </w:rPr>
          <w:t>βίντεο</w:t>
        </w:r>
      </w:hyperlink>
      <w:r>
        <w:rPr>
          <w:sz w:val="22"/>
          <w:szCs w:val="22"/>
          <w:lang w:val="el-GR"/>
        </w:rPr>
        <w:t xml:space="preserve"> του διαγωνισμού στο κανάλι της Τράπεζας στο </w:t>
      </w:r>
      <w:r>
        <w:rPr>
          <w:sz w:val="22"/>
          <w:szCs w:val="22"/>
          <w:lang w:val="en-US"/>
        </w:rPr>
        <w:t>YouTube</w:t>
      </w:r>
      <w:r w:rsidRPr="00361FBC">
        <w:rPr>
          <w:sz w:val="22"/>
          <w:szCs w:val="22"/>
          <w:lang w:val="el-GR"/>
        </w:rPr>
        <w:t>.</w:t>
      </w:r>
    </w:p>
    <w:p w14:paraId="6ABABA9E" w14:textId="6C5BADC9" w:rsidR="00F5007A" w:rsidRPr="001E0D49" w:rsidRDefault="00361FBC" w:rsidP="0077272E">
      <w:pPr>
        <w:pStyle w:val="ListParagraph"/>
        <w:numPr>
          <w:ilvl w:val="0"/>
          <w:numId w:val="5"/>
        </w:numPr>
        <w:spacing w:before="240" w:line="360" w:lineRule="auto"/>
        <w:jc w:val="both"/>
        <w:rPr>
          <w:sz w:val="22"/>
          <w:szCs w:val="22"/>
          <w:lang w:val="el-GR"/>
        </w:rPr>
      </w:pPr>
      <w:r w:rsidRPr="001E0D49">
        <w:rPr>
          <w:sz w:val="22"/>
          <w:szCs w:val="22"/>
          <w:lang w:val="el-GR"/>
        </w:rPr>
        <w:t xml:space="preserve">Δείτε </w:t>
      </w:r>
      <w:hyperlink r:id="rId12" w:history="1">
        <w:r w:rsidRPr="001E0D49">
          <w:rPr>
            <w:rStyle w:val="Hyperlink"/>
            <w:sz w:val="22"/>
            <w:szCs w:val="22"/>
            <w:lang w:val="el-GR"/>
          </w:rPr>
          <w:t>φωτογραφίες</w:t>
        </w:r>
      </w:hyperlink>
      <w:r w:rsidRPr="001E0D49">
        <w:rPr>
          <w:sz w:val="22"/>
          <w:szCs w:val="22"/>
          <w:lang w:val="el-GR"/>
        </w:rPr>
        <w:t xml:space="preserve"> στη σελίδα της Τράπεζας στο </w:t>
      </w:r>
      <w:r w:rsidRPr="001E0D49">
        <w:rPr>
          <w:sz w:val="22"/>
          <w:szCs w:val="22"/>
          <w:lang w:val="en-US"/>
        </w:rPr>
        <w:t>Flickr</w:t>
      </w:r>
      <w:r w:rsidRPr="001E0D49">
        <w:rPr>
          <w:sz w:val="22"/>
          <w:szCs w:val="22"/>
          <w:lang w:val="el-GR"/>
        </w:rPr>
        <w:t>.</w:t>
      </w:r>
    </w:p>
    <w:sectPr w:rsidR="00F5007A" w:rsidRPr="001E0D49" w:rsidSect="00413A81">
      <w:footerReference w:type="default" r:id="rId13"/>
      <w:footerReference w:type="first" r:id="rId14"/>
      <w:pgSz w:w="11906" w:h="16838"/>
      <w:pgMar w:top="1276" w:right="1418" w:bottom="1985"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D3BB" w14:textId="77777777" w:rsidR="007E01BF" w:rsidRDefault="007E01BF">
      <w:r>
        <w:separator/>
      </w:r>
    </w:p>
  </w:endnote>
  <w:endnote w:type="continuationSeparator" w:id="0">
    <w:p w14:paraId="067B9679" w14:textId="77777777" w:rsidR="007E01BF" w:rsidRDefault="007E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7435" w14:textId="77777777" w:rsidR="00906441" w:rsidRDefault="00614A99" w:rsidP="006F37D0">
    <w:pPr>
      <w:tabs>
        <w:tab w:val="left" w:pos="2288"/>
      </w:tabs>
      <w:spacing w:line="360" w:lineRule="auto"/>
      <w:ind w:right="360"/>
      <w:rPr>
        <w:sz w:val="14"/>
        <w:lang w:val="el-GR"/>
      </w:rPr>
    </w:pPr>
    <w:r>
      <w:rPr>
        <w:sz w:val="20"/>
      </w:rPr>
      <w:tab/>
    </w:r>
  </w:p>
  <w:p w14:paraId="497A0C17" w14:textId="77777777" w:rsidR="00766A4F" w:rsidRPr="00614A99" w:rsidRDefault="00766A4F" w:rsidP="00766A4F">
    <w:pPr>
      <w:pStyle w:val="Footer"/>
      <w:framePr w:wrap="auto" w:vAnchor="text" w:hAnchor="page" w:x="10807" w:y="301"/>
      <w:rPr>
        <w:rFonts w:ascii="Arial" w:hAnsi="Arial" w:cs="Arial"/>
      </w:rPr>
    </w:pPr>
  </w:p>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766A4F" w:rsidRPr="00766A4F" w14:paraId="7BBB1303" w14:textId="77777777" w:rsidTr="00F26854">
      <w:tc>
        <w:tcPr>
          <w:tcW w:w="4917" w:type="dxa"/>
          <w:tcBorders>
            <w:left w:val="single" w:sz="48" w:space="0" w:color="BC9E6E"/>
          </w:tcBorders>
        </w:tcPr>
        <w:p w14:paraId="6A2EAB57" w14:textId="77777777" w:rsidR="006B5E1E" w:rsidRDefault="006B5E1E" w:rsidP="001E695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1B701268" w14:textId="77777777" w:rsidR="006B5E1E" w:rsidRDefault="006B5E1E" w:rsidP="001E6951">
          <w:pPr>
            <w:pStyle w:val="Footer"/>
            <w:tabs>
              <w:tab w:val="left" w:pos="5220"/>
            </w:tabs>
            <w:spacing w:before="60" w:after="60"/>
            <w:ind w:firstLine="176"/>
            <w:rPr>
              <w:rFonts w:ascii="Arial" w:hAnsi="Arial" w:cs="Arial"/>
              <w:sz w:val="14"/>
              <w:lang w:val="el-GR"/>
            </w:rPr>
          </w:pPr>
          <w:proofErr w:type="spellStart"/>
          <w:r w:rsidRPr="00766A4F">
            <w:rPr>
              <w:rFonts w:ascii="Arial" w:hAnsi="Arial" w:cs="Arial"/>
              <w:sz w:val="14"/>
              <w:lang w:val="el-GR"/>
            </w:rPr>
            <w:t>Τηλ</w:t>
          </w:r>
          <w:proofErr w:type="spellEnd"/>
          <w:r w:rsidR="00C25ACA" w:rsidRPr="009104FC">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357EE58A" w14:textId="77777777" w:rsidR="00766A4F" w:rsidRDefault="00184CB0" w:rsidP="006B5E1E">
          <w:pPr>
            <w:pStyle w:val="Footer"/>
            <w:tabs>
              <w:tab w:val="left" w:pos="5220"/>
            </w:tabs>
            <w:spacing w:before="60" w:after="60"/>
            <w:ind w:firstLine="176"/>
            <w:rPr>
              <w:rFonts w:ascii="Arial" w:hAnsi="Arial" w:cs="Arial"/>
              <w:sz w:val="14"/>
              <w:lang w:val="el-GR"/>
            </w:rPr>
          </w:pPr>
          <w:hyperlink r:id="rId1" w:history="1">
            <w:r w:rsidRPr="00E06524">
              <w:rPr>
                <w:rStyle w:val="Hyperlink"/>
                <w:rFonts w:ascii="Arial" w:hAnsi="Arial" w:cs="Arial"/>
                <w:sz w:val="14"/>
                <w:lang w:val="en-US"/>
              </w:rPr>
              <w:t>press</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sidR="006B5E1E">
            <w:rPr>
              <w:rFonts w:ascii="Arial" w:hAnsi="Arial" w:cs="Arial"/>
              <w:sz w:val="14"/>
              <w:lang w:val="el-GR"/>
            </w:rPr>
            <w:t xml:space="preserve"> | </w:t>
          </w:r>
          <w:r w:rsidRPr="006B5E1E">
            <w:rPr>
              <w:rFonts w:ascii="Arial" w:hAnsi="Arial" w:cs="Arial"/>
              <w:sz w:val="14"/>
              <w:lang w:val="el-GR"/>
            </w:rPr>
            <w:t xml:space="preserve"> </w:t>
          </w:r>
          <w:hyperlink r:id="rId2" w:history="1">
            <w:r w:rsidRPr="00E06524">
              <w:rPr>
                <w:rStyle w:val="Hyperlink"/>
                <w:rFonts w:ascii="Arial" w:hAnsi="Arial" w:cs="Arial"/>
                <w:sz w:val="14"/>
                <w:lang w:val="en-US"/>
              </w:rPr>
              <w:t>www</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sidRPr="006B5E1E">
            <w:rPr>
              <w:rFonts w:ascii="Arial" w:hAnsi="Arial" w:cs="Arial"/>
              <w:sz w:val="14"/>
              <w:lang w:val="el-GR"/>
            </w:rPr>
            <w:t xml:space="preserve"> </w:t>
          </w:r>
        </w:p>
      </w:tc>
      <w:tc>
        <w:tcPr>
          <w:tcW w:w="4581" w:type="dxa"/>
        </w:tcPr>
        <w:p w14:paraId="6038BD17" w14:textId="77777777" w:rsidR="00766A4F" w:rsidRPr="00184CB0" w:rsidRDefault="00766A4F" w:rsidP="00766A4F">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sidR="008221AA">
            <w:rPr>
              <w:rFonts w:ascii="Arial" w:hAnsi="Arial" w:cs="Arial"/>
              <w:noProof/>
              <w:color w:val="auto"/>
              <w:sz w:val="18"/>
              <w:lang w:val="en-US"/>
            </w:rPr>
            <w:t>1</w:t>
          </w:r>
          <w:r w:rsidRPr="006F37D0">
            <w:rPr>
              <w:rFonts w:ascii="Arial" w:hAnsi="Arial" w:cs="Arial"/>
              <w:noProof/>
              <w:color w:val="auto"/>
              <w:sz w:val="18"/>
              <w:lang w:val="en-US"/>
            </w:rPr>
            <w:fldChar w:fldCharType="end"/>
          </w:r>
          <w:r w:rsidR="00184CB0">
            <w:rPr>
              <w:rFonts w:ascii="Arial" w:hAnsi="Arial" w:cs="Arial"/>
              <w:noProof/>
              <w:color w:val="auto"/>
              <w:sz w:val="18"/>
              <w:lang w:val="el-GR"/>
            </w:rPr>
            <w:t xml:space="preserve"> </w:t>
          </w:r>
          <w:r w:rsidR="00184CB0" w:rsidRPr="00D929F5">
            <w:rPr>
              <w:rFonts w:ascii="Arial Black" w:hAnsi="Arial Black" w:cs="Arial"/>
              <w:b/>
              <w:noProof/>
              <w:color w:val="948A54"/>
              <w:sz w:val="22"/>
              <w:lang w:val="el-GR"/>
            </w:rPr>
            <w:t>|</w:t>
          </w:r>
        </w:p>
      </w:tc>
    </w:tr>
  </w:tbl>
  <w:p w14:paraId="52D55D5D" w14:textId="77777777" w:rsidR="00906441" w:rsidRDefault="00906441" w:rsidP="006F37D0">
    <w:pPr>
      <w:pStyle w:val="Footer"/>
      <w:ind w:right="360"/>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C647" w14:textId="77777777" w:rsidR="00906441" w:rsidRDefault="00906441">
    <w:pPr>
      <w:pStyle w:val="Footer"/>
      <w:rPr>
        <w:sz w:val="20"/>
        <w:lang w:val="de-DE"/>
      </w:rPr>
    </w:pPr>
  </w:p>
  <w:p w14:paraId="19EC6F62" w14:textId="77777777" w:rsidR="00906441" w:rsidRDefault="00906441">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CF78" w14:textId="77777777" w:rsidR="007E01BF" w:rsidRDefault="007E01BF">
      <w:r>
        <w:separator/>
      </w:r>
    </w:p>
  </w:footnote>
  <w:footnote w:type="continuationSeparator" w:id="0">
    <w:p w14:paraId="42BD8CEC" w14:textId="77777777" w:rsidR="007E01BF" w:rsidRDefault="007E0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0748"/>
    <w:multiLevelType w:val="multilevel"/>
    <w:tmpl w:val="1DCE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 w15:restartNumberingAfterBreak="0">
    <w:nsid w:val="35565C2C"/>
    <w:multiLevelType w:val="hybridMultilevel"/>
    <w:tmpl w:val="AF525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AE92E5A"/>
    <w:multiLevelType w:val="multilevel"/>
    <w:tmpl w:val="00A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1234BCE"/>
    <w:multiLevelType w:val="multilevel"/>
    <w:tmpl w:val="A8E0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90016046">
    <w:abstractNumId w:val="4"/>
  </w:num>
  <w:num w:numId="2" w16cid:durableId="1640183374">
    <w:abstractNumId w:val="7"/>
  </w:num>
  <w:num w:numId="3" w16cid:durableId="1052536825">
    <w:abstractNumId w:val="5"/>
  </w:num>
  <w:num w:numId="4" w16cid:durableId="1189753909">
    <w:abstractNumId w:val="1"/>
  </w:num>
  <w:num w:numId="5" w16cid:durableId="2139955766">
    <w:abstractNumId w:val="2"/>
  </w:num>
  <w:num w:numId="6" w16cid:durableId="1689717221">
    <w:abstractNumId w:val="6"/>
  </w:num>
  <w:num w:numId="7" w16cid:durableId="205338381">
    <w:abstractNumId w:val="3"/>
  </w:num>
  <w:num w:numId="8" w16cid:durableId="1431319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4A"/>
    <w:rsid w:val="00004838"/>
    <w:rsid w:val="00022F02"/>
    <w:rsid w:val="00025311"/>
    <w:rsid w:val="000272CF"/>
    <w:rsid w:val="00037147"/>
    <w:rsid w:val="00042CAC"/>
    <w:rsid w:val="00044C8F"/>
    <w:rsid w:val="00045338"/>
    <w:rsid w:val="00073219"/>
    <w:rsid w:val="000820DF"/>
    <w:rsid w:val="0008348B"/>
    <w:rsid w:val="000A288F"/>
    <w:rsid w:val="000A304A"/>
    <w:rsid w:val="000A4140"/>
    <w:rsid w:val="000A5141"/>
    <w:rsid w:val="000A6028"/>
    <w:rsid w:val="000C32E3"/>
    <w:rsid w:val="000C46DD"/>
    <w:rsid w:val="000C5182"/>
    <w:rsid w:val="000D0221"/>
    <w:rsid w:val="000D1A19"/>
    <w:rsid w:val="000D5526"/>
    <w:rsid w:val="000F7419"/>
    <w:rsid w:val="0010083B"/>
    <w:rsid w:val="0011395D"/>
    <w:rsid w:val="00115528"/>
    <w:rsid w:val="00134326"/>
    <w:rsid w:val="00163175"/>
    <w:rsid w:val="00180F26"/>
    <w:rsid w:val="00183895"/>
    <w:rsid w:val="00184CB0"/>
    <w:rsid w:val="00185971"/>
    <w:rsid w:val="0019445C"/>
    <w:rsid w:val="00196FCF"/>
    <w:rsid w:val="0019776D"/>
    <w:rsid w:val="001A04FD"/>
    <w:rsid w:val="001A37A9"/>
    <w:rsid w:val="001A4D11"/>
    <w:rsid w:val="001A759A"/>
    <w:rsid w:val="001C1317"/>
    <w:rsid w:val="001C1BDE"/>
    <w:rsid w:val="001D04CC"/>
    <w:rsid w:val="001D1C56"/>
    <w:rsid w:val="001E0883"/>
    <w:rsid w:val="001E0D49"/>
    <w:rsid w:val="001E3BEA"/>
    <w:rsid w:val="001E6951"/>
    <w:rsid w:val="001F0CF2"/>
    <w:rsid w:val="00201E7D"/>
    <w:rsid w:val="00202559"/>
    <w:rsid w:val="00202FDB"/>
    <w:rsid w:val="00207C8D"/>
    <w:rsid w:val="002101EB"/>
    <w:rsid w:val="00227116"/>
    <w:rsid w:val="002435A1"/>
    <w:rsid w:val="00246066"/>
    <w:rsid w:val="00253470"/>
    <w:rsid w:val="00260190"/>
    <w:rsid w:val="00270D07"/>
    <w:rsid w:val="002A2D24"/>
    <w:rsid w:val="002A3590"/>
    <w:rsid w:val="002B5FB8"/>
    <w:rsid w:val="002C168A"/>
    <w:rsid w:val="002C2B2C"/>
    <w:rsid w:val="002C4312"/>
    <w:rsid w:val="002C707C"/>
    <w:rsid w:val="002C7892"/>
    <w:rsid w:val="002D0E59"/>
    <w:rsid w:val="002D3F97"/>
    <w:rsid w:val="002E07C6"/>
    <w:rsid w:val="002E3886"/>
    <w:rsid w:val="00302264"/>
    <w:rsid w:val="00313191"/>
    <w:rsid w:val="00320888"/>
    <w:rsid w:val="00325A6F"/>
    <w:rsid w:val="00333E5C"/>
    <w:rsid w:val="00336459"/>
    <w:rsid w:val="00340C76"/>
    <w:rsid w:val="003454F8"/>
    <w:rsid w:val="0034678E"/>
    <w:rsid w:val="00355259"/>
    <w:rsid w:val="00357937"/>
    <w:rsid w:val="00361374"/>
    <w:rsid w:val="00361FBC"/>
    <w:rsid w:val="003636A6"/>
    <w:rsid w:val="0036732C"/>
    <w:rsid w:val="00370A65"/>
    <w:rsid w:val="0037238A"/>
    <w:rsid w:val="00375D2B"/>
    <w:rsid w:val="00385AAE"/>
    <w:rsid w:val="003874C8"/>
    <w:rsid w:val="003877F1"/>
    <w:rsid w:val="003915A3"/>
    <w:rsid w:val="00397328"/>
    <w:rsid w:val="003A245D"/>
    <w:rsid w:val="003A4A4F"/>
    <w:rsid w:val="003B3773"/>
    <w:rsid w:val="003C3284"/>
    <w:rsid w:val="003C3AA5"/>
    <w:rsid w:val="003C61DD"/>
    <w:rsid w:val="003E11F9"/>
    <w:rsid w:val="003F3D85"/>
    <w:rsid w:val="0040268A"/>
    <w:rsid w:val="00406D19"/>
    <w:rsid w:val="00413A81"/>
    <w:rsid w:val="00414884"/>
    <w:rsid w:val="00417ED3"/>
    <w:rsid w:val="00422D68"/>
    <w:rsid w:val="004341F8"/>
    <w:rsid w:val="0043621F"/>
    <w:rsid w:val="00436255"/>
    <w:rsid w:val="00443B6C"/>
    <w:rsid w:val="00443DA9"/>
    <w:rsid w:val="00453C47"/>
    <w:rsid w:val="0046071D"/>
    <w:rsid w:val="00463F9F"/>
    <w:rsid w:val="00464C3A"/>
    <w:rsid w:val="00466134"/>
    <w:rsid w:val="00483018"/>
    <w:rsid w:val="00491524"/>
    <w:rsid w:val="00497197"/>
    <w:rsid w:val="00497CD2"/>
    <w:rsid w:val="004A09A6"/>
    <w:rsid w:val="004A549E"/>
    <w:rsid w:val="004A59BA"/>
    <w:rsid w:val="004B333D"/>
    <w:rsid w:val="004B79B4"/>
    <w:rsid w:val="004C04B3"/>
    <w:rsid w:val="004C30E9"/>
    <w:rsid w:val="004C6096"/>
    <w:rsid w:val="004D63E0"/>
    <w:rsid w:val="004D7D32"/>
    <w:rsid w:val="004F52A9"/>
    <w:rsid w:val="00503B65"/>
    <w:rsid w:val="005068EA"/>
    <w:rsid w:val="00507CA9"/>
    <w:rsid w:val="00515766"/>
    <w:rsid w:val="00530DAA"/>
    <w:rsid w:val="00533BA6"/>
    <w:rsid w:val="00536D75"/>
    <w:rsid w:val="0054190C"/>
    <w:rsid w:val="00542108"/>
    <w:rsid w:val="00553F6C"/>
    <w:rsid w:val="00564CE7"/>
    <w:rsid w:val="005655D3"/>
    <w:rsid w:val="00572D5B"/>
    <w:rsid w:val="00584A58"/>
    <w:rsid w:val="005863E4"/>
    <w:rsid w:val="00586BA9"/>
    <w:rsid w:val="00591679"/>
    <w:rsid w:val="00593A10"/>
    <w:rsid w:val="005B1F16"/>
    <w:rsid w:val="005B5CFE"/>
    <w:rsid w:val="005B611D"/>
    <w:rsid w:val="005C059A"/>
    <w:rsid w:val="005C0C4E"/>
    <w:rsid w:val="005C0CDA"/>
    <w:rsid w:val="005D0C8C"/>
    <w:rsid w:val="005D4F1E"/>
    <w:rsid w:val="005E078D"/>
    <w:rsid w:val="005E2B89"/>
    <w:rsid w:val="005F2746"/>
    <w:rsid w:val="005F43AD"/>
    <w:rsid w:val="00604D0C"/>
    <w:rsid w:val="00606096"/>
    <w:rsid w:val="00606D18"/>
    <w:rsid w:val="00606D58"/>
    <w:rsid w:val="00606E2F"/>
    <w:rsid w:val="00614A99"/>
    <w:rsid w:val="00617823"/>
    <w:rsid w:val="00627512"/>
    <w:rsid w:val="00627DC6"/>
    <w:rsid w:val="0063688D"/>
    <w:rsid w:val="0064172A"/>
    <w:rsid w:val="0064175A"/>
    <w:rsid w:val="006418EF"/>
    <w:rsid w:val="006512A1"/>
    <w:rsid w:val="006542A4"/>
    <w:rsid w:val="00656C46"/>
    <w:rsid w:val="00667F0F"/>
    <w:rsid w:val="00677754"/>
    <w:rsid w:val="006804BB"/>
    <w:rsid w:val="0068377E"/>
    <w:rsid w:val="0068536A"/>
    <w:rsid w:val="006901E8"/>
    <w:rsid w:val="006932B9"/>
    <w:rsid w:val="0069557D"/>
    <w:rsid w:val="006A2DD2"/>
    <w:rsid w:val="006B5E1E"/>
    <w:rsid w:val="006C0418"/>
    <w:rsid w:val="006D07A5"/>
    <w:rsid w:val="006D2AC6"/>
    <w:rsid w:val="006D2FE5"/>
    <w:rsid w:val="006D3D1E"/>
    <w:rsid w:val="006E4337"/>
    <w:rsid w:val="006E648E"/>
    <w:rsid w:val="006F37D0"/>
    <w:rsid w:val="00707F5B"/>
    <w:rsid w:val="00711228"/>
    <w:rsid w:val="00714EDE"/>
    <w:rsid w:val="0072429F"/>
    <w:rsid w:val="0073051C"/>
    <w:rsid w:val="00730ACE"/>
    <w:rsid w:val="007354F4"/>
    <w:rsid w:val="0073681A"/>
    <w:rsid w:val="0074387F"/>
    <w:rsid w:val="00750403"/>
    <w:rsid w:val="007538C2"/>
    <w:rsid w:val="00755A38"/>
    <w:rsid w:val="00764C47"/>
    <w:rsid w:val="00766A4F"/>
    <w:rsid w:val="007736AF"/>
    <w:rsid w:val="00776A9E"/>
    <w:rsid w:val="007874D4"/>
    <w:rsid w:val="00790999"/>
    <w:rsid w:val="00794D78"/>
    <w:rsid w:val="007A0D33"/>
    <w:rsid w:val="007C0704"/>
    <w:rsid w:val="007C4A55"/>
    <w:rsid w:val="007C6FC4"/>
    <w:rsid w:val="007C7957"/>
    <w:rsid w:val="007D4426"/>
    <w:rsid w:val="007E01BF"/>
    <w:rsid w:val="007F5E56"/>
    <w:rsid w:val="008076A5"/>
    <w:rsid w:val="008116CE"/>
    <w:rsid w:val="00816456"/>
    <w:rsid w:val="00817F3B"/>
    <w:rsid w:val="008221AA"/>
    <w:rsid w:val="00824A41"/>
    <w:rsid w:val="00832116"/>
    <w:rsid w:val="00837AC2"/>
    <w:rsid w:val="00845FB3"/>
    <w:rsid w:val="00853EC0"/>
    <w:rsid w:val="00855C86"/>
    <w:rsid w:val="0085688E"/>
    <w:rsid w:val="00863881"/>
    <w:rsid w:val="00864DCC"/>
    <w:rsid w:val="00873049"/>
    <w:rsid w:val="00894070"/>
    <w:rsid w:val="008A443F"/>
    <w:rsid w:val="008B0419"/>
    <w:rsid w:val="008B09DB"/>
    <w:rsid w:val="008B2FAE"/>
    <w:rsid w:val="008B3C40"/>
    <w:rsid w:val="008B5AA3"/>
    <w:rsid w:val="008B61C2"/>
    <w:rsid w:val="008B706C"/>
    <w:rsid w:val="008C7796"/>
    <w:rsid w:val="008D28E5"/>
    <w:rsid w:val="008D52E8"/>
    <w:rsid w:val="008E7AC5"/>
    <w:rsid w:val="00900E3D"/>
    <w:rsid w:val="0090628A"/>
    <w:rsid w:val="00906441"/>
    <w:rsid w:val="009104FC"/>
    <w:rsid w:val="009165DB"/>
    <w:rsid w:val="00935044"/>
    <w:rsid w:val="009418D5"/>
    <w:rsid w:val="00953005"/>
    <w:rsid w:val="00953460"/>
    <w:rsid w:val="00957998"/>
    <w:rsid w:val="009650DB"/>
    <w:rsid w:val="00971D89"/>
    <w:rsid w:val="009743CB"/>
    <w:rsid w:val="009745A7"/>
    <w:rsid w:val="009819E1"/>
    <w:rsid w:val="00987AE7"/>
    <w:rsid w:val="009917B1"/>
    <w:rsid w:val="009B1C49"/>
    <w:rsid w:val="009C19AD"/>
    <w:rsid w:val="009C3187"/>
    <w:rsid w:val="009C7987"/>
    <w:rsid w:val="009F46C4"/>
    <w:rsid w:val="009F7340"/>
    <w:rsid w:val="00A03640"/>
    <w:rsid w:val="00A044CC"/>
    <w:rsid w:val="00A20EFB"/>
    <w:rsid w:val="00A32C78"/>
    <w:rsid w:val="00A35D8D"/>
    <w:rsid w:val="00A36154"/>
    <w:rsid w:val="00A43B8F"/>
    <w:rsid w:val="00A56BA1"/>
    <w:rsid w:val="00A579CF"/>
    <w:rsid w:val="00A66246"/>
    <w:rsid w:val="00A677F1"/>
    <w:rsid w:val="00A730BF"/>
    <w:rsid w:val="00A74FE3"/>
    <w:rsid w:val="00A77BD7"/>
    <w:rsid w:val="00A80EF5"/>
    <w:rsid w:val="00A92784"/>
    <w:rsid w:val="00A9634B"/>
    <w:rsid w:val="00A97804"/>
    <w:rsid w:val="00AA47C4"/>
    <w:rsid w:val="00AB0F5B"/>
    <w:rsid w:val="00AB2233"/>
    <w:rsid w:val="00AB4182"/>
    <w:rsid w:val="00AC176B"/>
    <w:rsid w:val="00AC7C78"/>
    <w:rsid w:val="00AD0439"/>
    <w:rsid w:val="00AD0AA4"/>
    <w:rsid w:val="00AD5E60"/>
    <w:rsid w:val="00AE3252"/>
    <w:rsid w:val="00AF030E"/>
    <w:rsid w:val="00AF3BEB"/>
    <w:rsid w:val="00B02396"/>
    <w:rsid w:val="00B062B8"/>
    <w:rsid w:val="00B06DAC"/>
    <w:rsid w:val="00B1198C"/>
    <w:rsid w:val="00B145EC"/>
    <w:rsid w:val="00B2022F"/>
    <w:rsid w:val="00B220DD"/>
    <w:rsid w:val="00B30105"/>
    <w:rsid w:val="00B4079D"/>
    <w:rsid w:val="00B4717A"/>
    <w:rsid w:val="00B54C1B"/>
    <w:rsid w:val="00B60D05"/>
    <w:rsid w:val="00B715B1"/>
    <w:rsid w:val="00B84943"/>
    <w:rsid w:val="00B87A7E"/>
    <w:rsid w:val="00B936D5"/>
    <w:rsid w:val="00BB6505"/>
    <w:rsid w:val="00BB6E79"/>
    <w:rsid w:val="00BC696F"/>
    <w:rsid w:val="00BD3FA3"/>
    <w:rsid w:val="00BD61FB"/>
    <w:rsid w:val="00BD7E26"/>
    <w:rsid w:val="00BE0C25"/>
    <w:rsid w:val="00BE1DCA"/>
    <w:rsid w:val="00BE3603"/>
    <w:rsid w:val="00BE3DFD"/>
    <w:rsid w:val="00BF6659"/>
    <w:rsid w:val="00C074DD"/>
    <w:rsid w:val="00C10DFC"/>
    <w:rsid w:val="00C233F1"/>
    <w:rsid w:val="00C25ACA"/>
    <w:rsid w:val="00C262F4"/>
    <w:rsid w:val="00C31FB5"/>
    <w:rsid w:val="00C32E24"/>
    <w:rsid w:val="00C445D6"/>
    <w:rsid w:val="00C45DC4"/>
    <w:rsid w:val="00C514A4"/>
    <w:rsid w:val="00C65155"/>
    <w:rsid w:val="00C67EF4"/>
    <w:rsid w:val="00C711D6"/>
    <w:rsid w:val="00C81DEF"/>
    <w:rsid w:val="00C838F1"/>
    <w:rsid w:val="00C86D6D"/>
    <w:rsid w:val="00CB0688"/>
    <w:rsid w:val="00CB1EAE"/>
    <w:rsid w:val="00CB276A"/>
    <w:rsid w:val="00CB6037"/>
    <w:rsid w:val="00CC1A3F"/>
    <w:rsid w:val="00CD0977"/>
    <w:rsid w:val="00CD0C4F"/>
    <w:rsid w:val="00CD38FC"/>
    <w:rsid w:val="00CD447E"/>
    <w:rsid w:val="00CD7F6A"/>
    <w:rsid w:val="00CE6F7B"/>
    <w:rsid w:val="00CF150B"/>
    <w:rsid w:val="00CF7810"/>
    <w:rsid w:val="00CF7CA8"/>
    <w:rsid w:val="00D11214"/>
    <w:rsid w:val="00D12A14"/>
    <w:rsid w:val="00D14D8A"/>
    <w:rsid w:val="00D151BD"/>
    <w:rsid w:val="00D15299"/>
    <w:rsid w:val="00D25276"/>
    <w:rsid w:val="00D25705"/>
    <w:rsid w:val="00D267A8"/>
    <w:rsid w:val="00D3267F"/>
    <w:rsid w:val="00D3307D"/>
    <w:rsid w:val="00D335BE"/>
    <w:rsid w:val="00D356CE"/>
    <w:rsid w:val="00D42593"/>
    <w:rsid w:val="00D427C5"/>
    <w:rsid w:val="00D64797"/>
    <w:rsid w:val="00D64C28"/>
    <w:rsid w:val="00D7720D"/>
    <w:rsid w:val="00D9178D"/>
    <w:rsid w:val="00D929F5"/>
    <w:rsid w:val="00D94BCD"/>
    <w:rsid w:val="00D97783"/>
    <w:rsid w:val="00DA2653"/>
    <w:rsid w:val="00DA2688"/>
    <w:rsid w:val="00DB215C"/>
    <w:rsid w:val="00DB27E9"/>
    <w:rsid w:val="00DB6917"/>
    <w:rsid w:val="00DB7DE7"/>
    <w:rsid w:val="00DC20E3"/>
    <w:rsid w:val="00DD1ECD"/>
    <w:rsid w:val="00DD5025"/>
    <w:rsid w:val="00E0693A"/>
    <w:rsid w:val="00E07095"/>
    <w:rsid w:val="00E10ED7"/>
    <w:rsid w:val="00E1325F"/>
    <w:rsid w:val="00E1556A"/>
    <w:rsid w:val="00E16153"/>
    <w:rsid w:val="00E22552"/>
    <w:rsid w:val="00E23A6E"/>
    <w:rsid w:val="00E2700F"/>
    <w:rsid w:val="00E32F8E"/>
    <w:rsid w:val="00E44983"/>
    <w:rsid w:val="00E449B2"/>
    <w:rsid w:val="00E500BB"/>
    <w:rsid w:val="00E50889"/>
    <w:rsid w:val="00E70330"/>
    <w:rsid w:val="00E72767"/>
    <w:rsid w:val="00E73AEB"/>
    <w:rsid w:val="00E93810"/>
    <w:rsid w:val="00EB4992"/>
    <w:rsid w:val="00EC4013"/>
    <w:rsid w:val="00ED5D50"/>
    <w:rsid w:val="00ED7E68"/>
    <w:rsid w:val="00EE0432"/>
    <w:rsid w:val="00EE1EB3"/>
    <w:rsid w:val="00F04F1A"/>
    <w:rsid w:val="00F07246"/>
    <w:rsid w:val="00F07FD7"/>
    <w:rsid w:val="00F110D7"/>
    <w:rsid w:val="00F12FC9"/>
    <w:rsid w:val="00F25B96"/>
    <w:rsid w:val="00F26854"/>
    <w:rsid w:val="00F27A63"/>
    <w:rsid w:val="00F3065E"/>
    <w:rsid w:val="00F403D6"/>
    <w:rsid w:val="00F42066"/>
    <w:rsid w:val="00F425A6"/>
    <w:rsid w:val="00F5007A"/>
    <w:rsid w:val="00F55107"/>
    <w:rsid w:val="00F57FE6"/>
    <w:rsid w:val="00F67B7B"/>
    <w:rsid w:val="00F706B9"/>
    <w:rsid w:val="00F7391F"/>
    <w:rsid w:val="00F82562"/>
    <w:rsid w:val="00F86045"/>
    <w:rsid w:val="00F957D8"/>
    <w:rsid w:val="00F970AF"/>
    <w:rsid w:val="00FA4464"/>
    <w:rsid w:val="00FA7855"/>
    <w:rsid w:val="00FB6324"/>
    <w:rsid w:val="00FD2E4F"/>
    <w:rsid w:val="00FD317F"/>
    <w:rsid w:val="00FE3F5E"/>
    <w:rsid w:val="00FE59FF"/>
    <w:rsid w:val="00FF5D14"/>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506C68"/>
  <w15:chartTrackingRefBased/>
  <w15:docId w15:val="{399DDEBD-ACF5-4734-8E13-C9AEA769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qFormat/>
    <w:pPr>
      <w:keepNext/>
      <w:spacing w:line="360" w:lineRule="auto"/>
      <w:ind w:firstLine="720"/>
      <w:jc w:val="both"/>
      <w:outlineLvl w:val="0"/>
    </w:pPr>
    <w:rPr>
      <w:i/>
      <w:sz w:val="22"/>
      <w:u w:val="single"/>
      <w:lang w:val="el-GR"/>
    </w:rPr>
  </w:style>
  <w:style w:type="paragraph" w:styleId="Heading6">
    <w:name w:val="heading 6"/>
    <w:basedOn w:val="Normal"/>
    <w:next w:val="Normal"/>
    <w:qFormat/>
    <w:pPr>
      <w:keepNext/>
      <w:spacing w:line="360" w:lineRule="auto"/>
      <w:ind w:left="851" w:right="340"/>
      <w:jc w:val="both"/>
      <w:outlineLvl w:val="5"/>
    </w:pPr>
    <w:rPr>
      <w:i/>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basedOn w:val="Normal"/>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rPr>
      <w:b/>
    </w:rPr>
  </w:style>
  <w:style w:type="paragraph" w:styleId="NormalWeb">
    <w:name w:val="Normal (Web)"/>
    <w:basedOn w:val="Normal"/>
    <w:pPr>
      <w:spacing w:before="100" w:beforeAutospacing="1" w:after="100" w:afterAutospacing="1"/>
    </w:pPr>
    <w:rPr>
      <w:rFonts w:ascii="Times New Roman" w:hAnsi="Times New Roman" w:cs="Times New Roman"/>
      <w:szCs w:val="24"/>
      <w:lang w:val="el-GR"/>
    </w:rPr>
  </w:style>
  <w:style w:type="paragraph" w:styleId="Header">
    <w:name w:val="header"/>
    <w:basedOn w:val="Normal"/>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qFormat/>
    <w:rPr>
      <w:i/>
      <w:iCs w:val="0"/>
    </w:rPr>
  </w:style>
  <w:style w:type="character" w:customStyle="1" w:styleId="CommentSubjectChar">
    <w:name w:val="Comment Subject Char"/>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rPr>
      <w:sz w:val="16"/>
      <w:szCs w:val="16"/>
    </w:rPr>
  </w:style>
  <w:style w:type="character" w:customStyle="1" w:styleId="FootnoteTextChar">
    <w:name w:val="Footnote Text Char"/>
    <w:rPr>
      <w:lang w:eastAsia="en-US"/>
    </w:rPr>
  </w:style>
  <w:style w:type="character" w:customStyle="1" w:styleId="BalloonTextChar">
    <w:name w:val="Balloon Text Char"/>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rPr>
      <w:position w:val="-2"/>
      <w:vertAlign w:val="superscript"/>
    </w:rPr>
  </w:style>
  <w:style w:type="character" w:customStyle="1" w:styleId="CommentTextChar">
    <w:name w:val="Comment Text Char"/>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 w:type="character" w:styleId="UnresolvedMention">
    <w:name w:val="Unresolved Mention"/>
    <w:basedOn w:val="DefaultParagraphFont"/>
    <w:uiPriority w:val="99"/>
    <w:semiHidden/>
    <w:unhideWhenUsed/>
    <w:rsid w:val="00025311"/>
    <w:rPr>
      <w:color w:val="605E5C"/>
      <w:shd w:val="clear" w:color="auto" w:fill="E1DFDD"/>
    </w:rPr>
  </w:style>
  <w:style w:type="paragraph" w:styleId="ListParagraph">
    <w:name w:val="List Paragraph"/>
    <w:basedOn w:val="Normal"/>
    <w:uiPriority w:val="34"/>
    <w:qFormat/>
    <w:rsid w:val="00361FBC"/>
    <w:pPr>
      <w:ind w:left="720"/>
      <w:contextualSpacing/>
    </w:pPr>
  </w:style>
  <w:style w:type="character" w:styleId="FollowedHyperlink">
    <w:name w:val="FollowedHyperlink"/>
    <w:basedOn w:val="DefaultParagraphFont"/>
    <w:uiPriority w:val="99"/>
    <w:semiHidden/>
    <w:unhideWhenUsed/>
    <w:rsid w:val="00D9178D"/>
    <w:rPr>
      <w:color w:val="954F72" w:themeColor="followedHyperlink"/>
      <w:u w:val="single"/>
    </w:rPr>
  </w:style>
  <w:style w:type="paragraph" w:styleId="Revision">
    <w:name w:val="Revision"/>
    <w:hidden/>
    <w:uiPriority w:val="99"/>
    <w:semiHidden/>
    <w:rsid w:val="00CB0688"/>
    <w:rPr>
      <w:rFonts w:ascii="Arial" w:hAnsi="Arial" w:cs="Arial"/>
      <w:color w:val="000000"/>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lickr.com/photos/bankofgreece/albums/721777203308042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pZOblpj-t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og25.datathon.gr/" TargetMode="External"/><Relationship Id="rId4" Type="http://schemas.openxmlformats.org/officeDocument/2006/relationships/settings" Target="settings.xml"/><Relationship Id="rId9" Type="http://schemas.openxmlformats.org/officeDocument/2006/relationships/hyperlink" Target="https://opendata.bankofgreece.gr/el/hom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8C9D0-E064-4A82-BF85-F33453AE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842</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serv.press@bankofgreece.gr</Manager>
  <Company>Bank of Greece</Company>
  <LinksUpToDate>false</LinksUpToDate>
  <CharactersWithSpaces>5384</CharactersWithSpaces>
  <SharedDoc>false</SharedDoc>
  <HLinks>
    <vt:vector size="18" baseType="variant">
      <vt:variant>
        <vt:i4>7667753</vt:i4>
      </vt:variant>
      <vt:variant>
        <vt:i4>0</vt:i4>
      </vt:variant>
      <vt:variant>
        <vt:i4>0</vt:i4>
      </vt:variant>
      <vt:variant>
        <vt:i4>5</vt:i4>
      </vt:variant>
      <vt:variant>
        <vt:lpwstr>http://www.bankofgreece.gr/</vt:lpwstr>
      </vt:variant>
      <vt:variant>
        <vt:lpwstr/>
      </vt: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Section</dc:creator>
  <cp:keywords/>
  <cp:lastModifiedBy>MARMAROU, Ioanna</cp:lastModifiedBy>
  <cp:revision>6</cp:revision>
  <cp:lastPrinted>2020-09-15T08:56:00Z</cp:lastPrinted>
  <dcterms:created xsi:type="dcterms:W3CDTF">2025-12-10T06:56:00Z</dcterms:created>
  <dcterms:modified xsi:type="dcterms:W3CDTF">2025-12-10T07:22:00Z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2025-12-02T12:25:13Z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fcd61f97-fa5b-423e-b383-6e150c37db0a</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ies>
</file>