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pPr>
      <w:r>
        <w:rPr>
          <w:rFonts w:ascii="Liberation Serif" w:hAnsi="Liberation Serif"/>
          <w:sz w:val="24"/>
          <w:szCs w:val="24"/>
        </w:rPr>
        <w:drawing>
          <wp:inline distT="0" distB="0" distL="0" distR="0">
            <wp:extent cx="4329430" cy="1165860"/>
            <wp:effectExtent l="0" t="0" r="0" b="0"/>
            <wp:docPr id="1"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
                    <pic:cNvPicPr>
                      <a:picLocks noChangeAspect="1" noChangeArrowheads="1"/>
                    </pic:cNvPicPr>
                  </pic:nvPicPr>
                  <pic:blipFill>
                    <a:blip r:embed="rId2"/>
                    <a:stretch>
                      <a:fillRect/>
                    </a:stretch>
                  </pic:blipFill>
                  <pic:spPr bwMode="auto">
                    <a:xfrm>
                      <a:off x="0" y="0"/>
                      <a:ext cx="4329430" cy="1165860"/>
                    </a:xfrm>
                    <a:prstGeom prst="rect">
                      <a:avLst/>
                    </a:prstGeom>
                  </pic:spPr>
                </pic:pic>
              </a:graphicData>
            </a:graphic>
          </wp:inline>
        </w:drawing>
      </w:r>
      <w:r>
        <w:rPr>
          <w:rStyle w:val="Style8"/>
          <w:rFonts w:ascii="Liberation Serif" w:hAnsi="Liberation Serif"/>
          <w:b/>
          <w:bCs/>
          <w:sz w:val="24"/>
          <w:szCs w:val="24"/>
        </w:rPr>
        <w:tab/>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jc w:val="right"/>
        <w:rPr>
          <w:rFonts w:ascii="Liberation Serif" w:hAnsi="Liberation Serif"/>
          <w:sz w:val="24"/>
          <w:szCs w:val="24"/>
        </w:rPr>
      </w:pPr>
      <w:r>
        <w:rPr>
          <w:rFonts w:ascii="Liberation Serif" w:hAnsi="Liberation Serif"/>
          <w:sz w:val="24"/>
          <w:szCs w:val="24"/>
        </w:rPr>
        <w:t>Αθήνα, 2</w:t>
      </w:r>
      <w:r>
        <w:rPr>
          <w:rFonts w:ascii="Liberation Serif" w:hAnsi="Liberation Serif"/>
          <w:sz w:val="24"/>
          <w:szCs w:val="24"/>
        </w:rPr>
        <w:t xml:space="preserve"> Μαρτίου 2026</w:t>
      </w:r>
    </w:p>
    <w:p>
      <w:pPr>
        <w:pStyle w:val="Normal"/>
        <w:spacing w:lineRule="auto" w:line="276"/>
        <w:jc w:val="both"/>
        <w:rPr>
          <w:rFonts w:ascii="Liberation Serif" w:hAnsi="Liberation Serif"/>
          <w:sz w:val="24"/>
          <w:szCs w:val="24"/>
        </w:rPr>
      </w:pPr>
      <w:r>
        <w:rPr>
          <w:rFonts w:ascii="Liberation Serif" w:hAnsi="Liberation Serif"/>
          <w:sz w:val="24"/>
          <w:szCs w:val="24"/>
        </w:rPr>
      </w:r>
    </w:p>
    <w:p>
      <w:pPr>
        <w:pStyle w:val="Normal"/>
        <w:spacing w:lineRule="auto" w:line="276"/>
        <w:jc w:val="both"/>
        <w:rPr>
          <w:rFonts w:ascii="Liberation Serif" w:hAnsi="Liberation Serif"/>
          <w:sz w:val="24"/>
          <w:szCs w:val="24"/>
        </w:rPr>
      </w:pPr>
      <w:r>
        <w:rPr>
          <w:rFonts w:ascii="Liberation Serif" w:hAnsi="Liberation Serif"/>
          <w:sz w:val="24"/>
          <w:szCs w:val="24"/>
        </w:rPr>
      </w:r>
    </w:p>
    <w:p>
      <w:pPr>
        <w:pStyle w:val="Normal"/>
        <w:spacing w:lineRule="auto" w:line="276"/>
        <w:jc w:val="both"/>
        <w:rPr>
          <w:rFonts w:ascii="Liberation Serif" w:hAnsi="Liberation Serif"/>
          <w:b/>
          <w:b/>
          <w:bCs/>
          <w:sz w:val="24"/>
          <w:szCs w:val="24"/>
        </w:rPr>
      </w:pPr>
      <w:r>
        <w:rPr>
          <w:rFonts w:ascii="Liberation Serif" w:hAnsi="Liberation Serif"/>
          <w:b/>
          <w:bCs/>
          <w:sz w:val="24"/>
          <w:szCs w:val="24"/>
        </w:rPr>
      </w:r>
    </w:p>
    <w:p>
      <w:pPr>
        <w:pStyle w:val="Normal"/>
        <w:spacing w:lineRule="auto" w:line="276"/>
        <w:jc w:val="center"/>
        <w:rPr>
          <w:rFonts w:ascii="Liberation Serif" w:hAnsi="Liberation Serif"/>
          <w:b/>
          <w:b/>
          <w:bCs/>
          <w:sz w:val="24"/>
          <w:szCs w:val="24"/>
        </w:rPr>
      </w:pPr>
      <w:bookmarkStart w:id="0" w:name="__DdeLink__2_1708691703"/>
      <w:bookmarkEnd w:id="0"/>
      <w:r>
        <w:rPr>
          <w:rFonts w:ascii="Liberation Serif" w:hAnsi="Liberation Serif"/>
          <w:b/>
          <w:bCs/>
          <w:sz w:val="24"/>
          <w:szCs w:val="24"/>
        </w:rPr>
        <w:t>ΔΕΛΤΙΟ ΤΥΠΟΥ</w:t>
      </w:r>
    </w:p>
    <w:p>
      <w:pPr>
        <w:pStyle w:val="Normal"/>
        <w:spacing w:lineRule="auto" w:line="276"/>
        <w:jc w:val="center"/>
        <w:rPr>
          <w:rFonts w:ascii="Liberation Serif" w:hAnsi="Liberation Serif"/>
          <w:b/>
          <w:b/>
          <w:bCs/>
          <w:sz w:val="24"/>
          <w:szCs w:val="24"/>
        </w:rPr>
      </w:pPr>
      <w:r>
        <w:rPr>
          <w:rFonts w:ascii="Liberation Serif" w:hAnsi="Liberation Serif"/>
          <w:b/>
          <w:bCs/>
          <w:sz w:val="24"/>
          <w:szCs w:val="24"/>
        </w:rPr>
      </w:r>
    </w:p>
    <w:p>
      <w:pPr>
        <w:pStyle w:val="TextBody"/>
        <w:rPr/>
      </w:pPr>
      <w:r>
        <w:rPr>
          <w:rStyle w:val="StrongEmphasis"/>
          <w:rFonts w:ascii="Liberation Serif" w:hAnsi="Liberation Serif"/>
          <w:b w:val="false"/>
          <w:bCs w:val="false"/>
          <w:sz w:val="24"/>
          <w:szCs w:val="24"/>
          <w:lang w:val="el-GR"/>
        </w:rPr>
        <w:t>Συμμετοχή της ΕΕΛΛΑΚ στο 11ο Ετήσιο Συνέδριο DPO &amp; ICT Security World for Public Sector</w:t>
      </w:r>
    </w:p>
    <w:p>
      <w:pPr>
        <w:pStyle w:val="TextBody"/>
        <w:jc w:val="center"/>
        <w:rPr>
          <w:rFonts w:ascii="Liberation Serif" w:hAnsi="Liberation Serif"/>
        </w:rPr>
      </w:pPr>
      <w:r>
        <w:rPr>
          <w:rFonts w:ascii="Liberation Serif" w:hAnsi="Liberation Serif"/>
        </w:rPr>
      </w:r>
    </w:p>
    <w:p>
      <w:pPr>
        <w:pStyle w:val="TextBody"/>
        <w:jc w:val="both"/>
        <w:rPr/>
      </w:pPr>
      <w:r>
        <w:rPr>
          <w:rStyle w:val="StrongEmphasis"/>
          <w:rFonts w:ascii="Liberation Serif" w:hAnsi="Liberation Serif"/>
          <w:b w:val="false"/>
          <w:bCs w:val="false"/>
          <w:sz w:val="24"/>
          <w:szCs w:val="24"/>
          <w:lang w:val="el-GR"/>
        </w:rPr>
        <w:t>Η ΕΕΛΛΑΚ συμμετείχε με δύο ομιλητές στο 11ο Ετήσιο Συνέδριο DPO &amp; ICT Security World for Public Sector, το οποίο πραγματοποιήθηκε στις 26 Φεβρουαρίου 2026 στο Divani Caravel Hotel, συγκεντρώνοντας στελέχη της Δημόσιας Διοίκησης, Υπευθύνους Προστασίας Δεδομένων (DPOs), επαγγελματίες κυβερνοασφάλειας και εκπροσώπους θεσμικών φορέων.</w:t>
      </w:r>
    </w:p>
    <w:p>
      <w:pPr>
        <w:pStyle w:val="TextBody"/>
        <w:jc w:val="both"/>
        <w:rPr>
          <w:rFonts w:ascii="Liberation Serif" w:hAnsi="Liberation Serif"/>
        </w:rPr>
      </w:pPr>
      <w:r>
        <w:rPr>
          <w:rFonts w:ascii="Liberation Serif" w:hAnsi="Liberation Serif"/>
        </w:rPr>
        <w:t>Η φετινή διοργάνωση επικεντρώθηκε στις εξελίξεις στην προστασία δεδομένων, στη συμμόρφωση με τον ΓΚΠΔ και το AI Act, καθώς και στις προκλήσεις κυβερνοασφάλειας στον δημόσιο τομέα, σε ένα περιβάλλον αυξανόμενης τεχνολογικής και γεωπολιτικής αβεβαιότητας.</w:t>
      </w:r>
    </w:p>
    <w:p>
      <w:pPr>
        <w:pStyle w:val="TextBody"/>
        <w:jc w:val="both"/>
        <w:rPr/>
      </w:pPr>
      <w:r>
        <w:rPr>
          <w:rFonts w:ascii="Liberation Serif" w:hAnsi="Liberation Serif"/>
        </w:rPr>
        <w:t xml:space="preserve">Ο κ. </w:t>
      </w:r>
      <w:r>
        <w:rPr>
          <w:rStyle w:val="StrongEmphasis"/>
          <w:rFonts w:ascii="Liberation Serif" w:hAnsi="Liberation Serif"/>
        </w:rPr>
        <w:t>Παναγιώτης Κρανιδιώτης</w:t>
      </w:r>
      <w:r>
        <w:rPr>
          <w:rFonts w:ascii="Liberation Serif" w:hAnsi="Liberation Serif"/>
        </w:rPr>
        <w:t xml:space="preserve">, μηχανικός λογισμικού και μέλος του Διοικητικού Συμβουλίου της ΕΕΛΛΑΚ, συμμετείχε στη θεματική ενότητα «Καινοτομία και Ασφαλή Ψηφιακά Συστήματα». Στην παρουσίασή του με τίτλο </w:t>
      </w:r>
      <w:r>
        <w:rPr>
          <w:rStyle w:val="StrongEmphasis"/>
          <w:rFonts w:ascii="Liberation Serif" w:hAnsi="Liberation Serif"/>
        </w:rPr>
        <w:t>«Ψηφιακή Ανεξαρτησία και Ανοικτές Τεχνολογίες»</w:t>
      </w:r>
      <w:r>
        <w:rPr>
          <w:rFonts w:ascii="Liberation Serif" w:hAnsi="Liberation Serif"/>
        </w:rPr>
        <w:t>, ανέδειξε τη στρατηγική σημασία της μείωσης της εξάρτησης από κλειστές, μη ευρωπαϊκές ψηφιακές υποδομές, επισημαίνοντας τις επιπτώσεις του vendor lock-in, των εξωευρωπαϊκών κανονιστικών πλαισίων (όπως το US CLOUD Act) και της συγκέντρωσης ισχύος σε λίγους παρόχους τεχνολογίας.</w:t>
      </w:r>
    </w:p>
    <w:p>
      <w:pPr>
        <w:pStyle w:val="TextBody"/>
        <w:jc w:val="both"/>
        <w:rPr>
          <w:rFonts w:ascii="Liberation Serif" w:hAnsi="Liberation Serif"/>
        </w:rPr>
      </w:pPr>
      <w:r>
        <w:rPr>
          <w:rFonts w:ascii="Liberation Serif" w:hAnsi="Liberation Serif"/>
        </w:rPr>
        <w:t>Στην εισήγησή του υπογράμμισε ότι η υιοθέτηση ανοικτού λογισμικού και ανοικτών προτύπων αποτελεί βασική προϋπόθεση για:</w:t>
      </w:r>
    </w:p>
    <w:p>
      <w:pPr>
        <w:pStyle w:val="TextBody"/>
        <w:numPr>
          <w:ilvl w:val="0"/>
          <w:numId w:val="2"/>
        </w:numPr>
        <w:tabs>
          <w:tab w:val="left" w:pos="0" w:leader="none"/>
        </w:tabs>
        <w:ind w:left="709" w:hanging="283"/>
        <w:jc w:val="both"/>
        <w:rPr>
          <w:rFonts w:ascii="Liberation Serif" w:hAnsi="Liberation Serif"/>
        </w:rPr>
      </w:pPr>
      <w:r>
        <w:rPr>
          <w:rFonts w:ascii="Liberation Serif" w:hAnsi="Liberation Serif"/>
        </w:rPr>
        <w:t>την ενίσχυση της διαφάνειας και της λογοδοσίας</w:t>
      </w:r>
    </w:p>
    <w:p>
      <w:pPr>
        <w:pStyle w:val="TextBody"/>
        <w:numPr>
          <w:ilvl w:val="0"/>
          <w:numId w:val="2"/>
        </w:numPr>
        <w:tabs>
          <w:tab w:val="left" w:pos="0" w:leader="none"/>
        </w:tabs>
        <w:ind w:left="709" w:hanging="283"/>
        <w:jc w:val="both"/>
        <w:rPr>
          <w:rFonts w:ascii="Liberation Serif" w:hAnsi="Liberation Serif"/>
        </w:rPr>
      </w:pPr>
      <w:r>
        <w:rPr>
          <w:rFonts w:ascii="Liberation Serif" w:hAnsi="Liberation Serif"/>
        </w:rPr>
        <w:t>την ανθεκτικότητα των δημόσιων πληροφοριακών συστημάτων</w:t>
      </w:r>
    </w:p>
    <w:p>
      <w:pPr>
        <w:pStyle w:val="TextBody"/>
        <w:numPr>
          <w:ilvl w:val="0"/>
          <w:numId w:val="2"/>
        </w:numPr>
        <w:tabs>
          <w:tab w:val="left" w:pos="0" w:leader="none"/>
        </w:tabs>
        <w:ind w:left="709" w:hanging="283"/>
        <w:jc w:val="both"/>
        <w:rPr>
          <w:rFonts w:ascii="Liberation Serif" w:hAnsi="Liberation Serif"/>
        </w:rPr>
      </w:pPr>
      <w:r>
        <w:rPr>
          <w:rFonts w:ascii="Liberation Serif" w:hAnsi="Liberation Serif"/>
        </w:rPr>
        <w:t>τη συμμόρφωση με το ευρωπαϊκό κανονιστικό πλαίσιο</w:t>
      </w:r>
    </w:p>
    <w:p>
      <w:pPr>
        <w:pStyle w:val="TextBody"/>
        <w:numPr>
          <w:ilvl w:val="0"/>
          <w:numId w:val="2"/>
        </w:numPr>
        <w:tabs>
          <w:tab w:val="left" w:pos="0" w:leader="none"/>
        </w:tabs>
        <w:ind w:left="709" w:hanging="283"/>
        <w:jc w:val="both"/>
        <w:rPr>
          <w:rFonts w:ascii="Liberation Serif" w:hAnsi="Liberation Serif"/>
        </w:rPr>
      </w:pPr>
      <w:r>
        <w:rPr>
          <w:rFonts w:ascii="Liberation Serif" w:hAnsi="Liberation Serif"/>
        </w:rPr>
        <w:t>την ανάπτυξη εγχώριου τεχνολογικού οικοσυστήματος και δεξιοτήτων.</w:t>
      </w:r>
    </w:p>
    <w:p>
      <w:pPr>
        <w:pStyle w:val="TextBody"/>
        <w:jc w:val="both"/>
        <w:rPr>
          <w:rFonts w:ascii="Liberation Serif" w:hAnsi="Liberation Serif"/>
        </w:rPr>
      </w:pPr>
      <w:r>
        <w:rPr>
          <w:rFonts w:ascii="Liberation Serif" w:hAnsi="Liberation Serif"/>
        </w:rPr>
        <w:t xml:space="preserve">Τόνισε, επίσης, την ανάγκη αναμόρφωσης των δημοσίων συμβάσεων με κατεύθυνση “open source first”, καθώς και τη σύνδεση της ψηφιακής ανεξαρτησίας με την εθνική και ευρωπαϊκή στρατηγική ασφάλειας. Η παρουσίαση του κ. Κρανιδιώτη είναι διαθέσιμη </w:t>
      </w:r>
      <w:hyperlink r:id="rId3">
        <w:r>
          <w:rPr>
            <w:rStyle w:val="VisitedInternetLink"/>
            <w:rFonts w:ascii="Liberation Serif" w:hAnsi="Liberation Serif"/>
          </w:rPr>
          <w:t>εδώ</w:t>
        </w:r>
      </w:hyperlink>
      <w:r>
        <w:rPr>
          <w:rFonts w:ascii="Liberation Serif" w:hAnsi="Liberation Serif"/>
        </w:rPr>
        <w:t xml:space="preserve">. </w:t>
      </w:r>
    </w:p>
    <w:p>
      <w:pPr>
        <w:pStyle w:val="TextBody"/>
        <w:jc w:val="both"/>
        <w:rPr/>
      </w:pPr>
      <w:r>
        <w:rPr>
          <w:rFonts w:ascii="Liberation Serif" w:hAnsi="Liberation Serif"/>
        </w:rPr>
        <w:t xml:space="preserve">Ο κ. </w:t>
      </w:r>
      <w:r>
        <w:rPr>
          <w:rStyle w:val="StrongEmphasis"/>
          <w:rFonts w:ascii="Liberation Serif" w:hAnsi="Liberation Serif"/>
        </w:rPr>
        <w:t>Αλέξανδρος Μελίδης</w:t>
      </w:r>
      <w:r>
        <w:rPr>
          <w:rFonts w:ascii="Liberation Serif" w:hAnsi="Liberation Serif"/>
        </w:rPr>
        <w:t xml:space="preserve">, Γενικός Διευθυντής της ΕΕΛΛΑΚ, συμμετείχε στη θεματική ενότητα «Τεχνητή Νοημοσύνη και Διαχείριση Κινδύνων». Στην παρουσίασή του με τίτλο </w:t>
      </w:r>
      <w:r>
        <w:rPr>
          <w:rStyle w:val="StrongEmphasis"/>
          <w:rFonts w:ascii="Liberation Serif" w:hAnsi="Liberation Serif"/>
        </w:rPr>
        <w:t>«Τεχνητή Νοημοσύνη και Κίνδυνοι Δεδομένων στις Δημόσιες Διαβουλεύσεις»</w:t>
      </w:r>
      <w:r>
        <w:rPr>
          <w:rFonts w:ascii="Liberation Serif" w:hAnsi="Liberation Serif"/>
        </w:rPr>
        <w:t>, ο κ. Μελίδης ανέλυσε τις προκλήσεις που ανακύπτουν από τη χρήση συστημάτων ΤΝ σε πλατφόρμες δημόσιας διαβούλευσης, με αναφορά και στην ελληνική εμπειρία.</w:t>
      </w:r>
    </w:p>
    <w:p>
      <w:pPr>
        <w:pStyle w:val="TextBody"/>
        <w:jc w:val="both"/>
        <w:rPr>
          <w:rFonts w:ascii="Liberation Serif" w:hAnsi="Liberation Serif"/>
        </w:rPr>
      </w:pPr>
      <w:r>
        <w:rPr>
          <w:rFonts w:ascii="Liberation Serif" w:hAnsi="Liberation Serif"/>
        </w:rPr>
        <w:t>Αναφέρθηκε ειδικότερα:</w:t>
      </w:r>
    </w:p>
    <w:p>
      <w:pPr>
        <w:pStyle w:val="TextBody"/>
        <w:numPr>
          <w:ilvl w:val="0"/>
          <w:numId w:val="3"/>
        </w:numPr>
        <w:tabs>
          <w:tab w:val="left" w:pos="0" w:leader="none"/>
        </w:tabs>
        <w:ind w:left="709" w:hanging="283"/>
        <w:jc w:val="both"/>
        <w:rPr>
          <w:rFonts w:ascii="Liberation Serif" w:hAnsi="Liberation Serif"/>
        </w:rPr>
      </w:pPr>
      <w:r>
        <w:rPr>
          <w:rFonts w:ascii="Liberation Serif" w:hAnsi="Liberation Serif"/>
        </w:rPr>
        <w:t>στον κίνδυνο μαζικής χειραγώγησης μέσω αυτοματοποιημένης παραγωγής σχολίων,</w:t>
      </w:r>
    </w:p>
    <w:p>
      <w:pPr>
        <w:pStyle w:val="TextBody"/>
        <w:numPr>
          <w:ilvl w:val="0"/>
          <w:numId w:val="3"/>
        </w:numPr>
        <w:tabs>
          <w:tab w:val="left" w:pos="0" w:leader="none"/>
        </w:tabs>
        <w:ind w:left="709" w:hanging="283"/>
        <w:jc w:val="both"/>
        <w:rPr>
          <w:rFonts w:ascii="Liberation Serif" w:hAnsi="Liberation Serif"/>
        </w:rPr>
      </w:pPr>
      <w:r>
        <w:rPr>
          <w:rFonts w:ascii="Liberation Serif" w:hAnsi="Liberation Serif"/>
        </w:rPr>
        <w:t>στις στρεβλώσεις που μπορεί να προκαλέσει η αλγοριθμική σύνοψη απόψεων (deliberation washing),</w:t>
      </w:r>
    </w:p>
    <w:p>
      <w:pPr>
        <w:pStyle w:val="TextBody"/>
        <w:numPr>
          <w:ilvl w:val="0"/>
          <w:numId w:val="3"/>
        </w:numPr>
        <w:tabs>
          <w:tab w:val="left" w:pos="0" w:leader="none"/>
        </w:tabs>
        <w:ind w:left="709" w:hanging="283"/>
        <w:jc w:val="both"/>
        <w:rPr>
          <w:rFonts w:ascii="Liberation Serif" w:hAnsi="Liberation Serif"/>
        </w:rPr>
      </w:pPr>
      <w:r>
        <w:rPr>
          <w:rFonts w:ascii="Liberation Serif" w:hAnsi="Liberation Serif"/>
        </w:rPr>
        <w:t>στην εξάρτηση της δημοκρατικής διαδικασίας από ιδιωτικά APIs και κλειστά μοντέλα,</w:t>
      </w:r>
    </w:p>
    <w:p>
      <w:pPr>
        <w:pStyle w:val="TextBody"/>
        <w:numPr>
          <w:ilvl w:val="0"/>
          <w:numId w:val="3"/>
        </w:numPr>
        <w:tabs>
          <w:tab w:val="left" w:pos="0" w:leader="none"/>
        </w:tabs>
        <w:ind w:left="709" w:hanging="283"/>
        <w:jc w:val="both"/>
        <w:rPr>
          <w:rFonts w:ascii="Liberation Serif" w:hAnsi="Liberation Serif"/>
        </w:rPr>
      </w:pPr>
      <w:r>
        <w:rPr>
          <w:rFonts w:ascii="Liberation Serif" w:hAnsi="Liberation Serif"/>
        </w:rPr>
        <w:t>στη σημασία της συμμόρφωσης με τον ΓΚΠΔ και τον AI Act ήδη από το στάδιο σχεδιασμού (compliance by design).</w:t>
      </w:r>
    </w:p>
    <w:p>
      <w:pPr>
        <w:pStyle w:val="TextBody"/>
        <w:jc w:val="both"/>
        <w:rPr>
          <w:rFonts w:ascii="Liberation Serif" w:hAnsi="Liberation Serif"/>
        </w:rPr>
      </w:pPr>
      <w:r>
        <w:rPr>
          <w:rFonts w:ascii="Liberation Serif" w:hAnsi="Liberation Serif"/>
        </w:rPr>
        <w:t xml:space="preserve">Ο κ. Μελίδης υπογράμμισε ότι τα εργαλεία ΤΝ που χρησιμοποιούνται σε δημοκρατικές διαδικασίες οφείλουν να διασφαλίζουν διαφάνεια, ιχνηλασιμότητα, ανθρώπινη εποπτεία και ουσιαστική προστασία των προσωπικών δεδομένων, ιδιαίτερα όταν αυτά αφορούν πολιτικές πεποιθήσεις. Η παρουσίαση του κ. Μελίδη είναι διαθέσιμη </w:t>
      </w:r>
      <w:hyperlink r:id="rId4">
        <w:r>
          <w:rPr>
            <w:rStyle w:val="InternetLink"/>
            <w:rFonts w:ascii="Liberation Serif" w:hAnsi="Liberation Serif"/>
          </w:rPr>
          <w:t>εδώ</w:t>
        </w:r>
      </w:hyperlink>
      <w:r>
        <w:rPr>
          <w:rFonts w:ascii="Liberation Serif" w:hAnsi="Liberation Serif"/>
        </w:rPr>
        <w:t>.</w:t>
      </w:r>
    </w:p>
    <w:p>
      <w:pPr>
        <w:pStyle w:val="TextBody"/>
        <w:jc w:val="both"/>
        <w:rPr/>
      </w:pPr>
      <w:r>
        <w:rPr>
          <w:rStyle w:val="StrongEmphasis"/>
          <w:rFonts w:ascii="Liberation Serif" w:hAnsi="Liberation Serif"/>
          <w:b w:val="false"/>
          <w:bCs w:val="false"/>
          <w:sz w:val="24"/>
          <w:szCs w:val="24"/>
          <w:lang w:val="el-GR"/>
        </w:rPr>
        <w:t>Η συμμετοχή της ΕΕΛΛΑΚ στο συνέδριο επιβεβαιώνει τον ενεργό της ρόλο στη διαμόρφωση τεκμηριωμένων προτάσεων πολιτικής για την ψηφιακή διακυβέρνηση, την κυβερνοασφάλεια και την υπεύθυνη αξιοποίηση της Τεχνητής Νοημοσύνης στον δημόσιο τομέα, με επίκεντρο τις ανοικτές τεχνολογίες και τη δημοκρατική λογοδοσία.</w:t>
      </w:r>
    </w:p>
    <w:p>
      <w:pPr>
        <w:pStyle w:val="TextBody"/>
        <w:spacing w:lineRule="auto" w:line="276"/>
        <w:jc w:val="both"/>
        <w:rPr>
          <w:rFonts w:ascii="Liberation Serif" w:hAnsi="Liberation Serif"/>
          <w:sz w:val="24"/>
          <w:szCs w:val="24"/>
        </w:rPr>
      </w:pPr>
      <w:bookmarkStart w:id="1" w:name="%252525_1_%CE%91%CE%BD%CF%84%CE%AF%CE%B3"/>
      <w:bookmarkEnd w:id="1"/>
      <w:r>
        <w:rPr>
          <w:rStyle w:val="StrongEmphasis"/>
        </w:rPr>
        <w:t>_____</w:t>
      </w:r>
    </w:p>
    <w:p>
      <w:pPr>
        <w:pStyle w:val="TextBody"/>
        <w:spacing w:lineRule="auto" w:line="276"/>
        <w:jc w:val="both"/>
        <w:rPr/>
      </w:pPr>
      <w:r>
        <w:rPr>
          <w:rStyle w:val="Style8"/>
          <w:rFonts w:ascii="Liberation Serif" w:hAnsi="Liberation Serif"/>
          <w:sz w:val="18"/>
          <w:szCs w:val="18"/>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5" w:tgtFrame="_top">
        <w:r>
          <w:rPr>
            <w:rStyle w:val="InternetLink"/>
            <w:rFonts w:ascii="Liberation Serif" w:hAnsi="Liberation Serif"/>
            <w:sz w:val="18"/>
            <w:szCs w:val="18"/>
            <w:u w:val="single"/>
          </w:rPr>
          <w:t>wiki.creativecommons.org/Greece</w:t>
        </w:r>
      </w:hyperlink>
      <w:r>
        <w:rPr>
          <w:rStyle w:val="Style8"/>
          <w:rFonts w:ascii="Liberation Serif" w:hAnsi="Liberation Serif"/>
          <w:sz w:val="18"/>
          <w:szCs w:val="18"/>
        </w:rPr>
        <w:t>), είναι ιδρυτικό μέλος του COMMUNIA (</w:t>
      </w:r>
      <w:hyperlink r:id="rId6" w:tgtFrame="_top">
        <w:r>
          <w:rPr>
            <w:rStyle w:val="InternetLink"/>
            <w:rFonts w:ascii="Liberation Serif" w:hAnsi="Liberation Serif"/>
            <w:sz w:val="18"/>
            <w:szCs w:val="18"/>
            <w:u w:val="single"/>
          </w:rPr>
          <w:t>www.communia-association.org</w:t>
        </w:r>
      </w:hyperlink>
      <w:r>
        <w:rPr>
          <w:rStyle w:val="Style8"/>
          <w:rFonts w:ascii="Liberation Serif" w:hAnsi="Liberation Serif"/>
          <w:sz w:val="18"/>
          <w:szCs w:val="18"/>
        </w:rPr>
        <w:t>), είναι ο ελληνικό κόμβος για το Open Data Institute (</w:t>
      </w:r>
      <w:hyperlink r:id="rId7" w:tgtFrame="_top">
        <w:r>
          <w:rPr>
            <w:rStyle w:val="InternetLink"/>
            <w:rFonts w:ascii="Liberation Serif" w:hAnsi="Liberation Serif"/>
            <w:sz w:val="18"/>
            <w:szCs w:val="18"/>
            <w:u w:val="single"/>
          </w:rPr>
          <w:t>opendatainstitute.org</w:t>
        </w:r>
      </w:hyperlink>
      <w:r>
        <w:rPr>
          <w:rStyle w:val="Style8"/>
          <w:rFonts w:ascii="Liberation Serif" w:hAnsi="Liberation Serif"/>
          <w:sz w:val="18"/>
          <w:szCs w:val="18"/>
        </w:rPr>
        <w:t>), και είναι μέλος του Open Budget Initiative (</w:t>
      </w:r>
      <w:hyperlink r:id="rId8" w:tgtFrame="_top">
        <w:r>
          <w:rPr>
            <w:rStyle w:val="InternetLink"/>
            <w:rFonts w:ascii="Liberation Serif" w:hAnsi="Liberation Serif"/>
            <w:sz w:val="18"/>
            <w:szCs w:val="18"/>
            <w:u w:val="single"/>
          </w:rPr>
          <w:t>internationalbudget.org/what-we-do/major-ibp-initiatives/open-budget-initiative</w:t>
        </w:r>
      </w:hyperlink>
      <w:r>
        <w:rPr>
          <w:rStyle w:val="Style8"/>
          <w:rFonts w:ascii="Liberation Serif" w:hAnsi="Liberation Serif"/>
          <w:sz w:val="18"/>
          <w:szCs w:val="18"/>
        </w:rPr>
        <w:t>).</w:t>
      </w:r>
    </w:p>
    <w:p>
      <w:pPr>
        <w:pStyle w:val="TextBody"/>
        <w:spacing w:lineRule="auto" w:line="276" w:before="0" w:after="283"/>
        <w:jc w:val="both"/>
        <w:rPr>
          <w:rFonts w:ascii="Liberation Serif" w:hAnsi="Liberation Serif"/>
          <w:sz w:val="20"/>
          <w:szCs w:val="20"/>
        </w:rPr>
      </w:pPr>
      <w:r>
        <w:rPr>
          <w:rFonts w:ascii="Liberation Serif" w:hAnsi="Liberation Serif"/>
          <w:sz w:val="20"/>
          <w:szCs w:val="20"/>
        </w:rPr>
        <w:t xml:space="preserve">Επικοινωνία: </w:t>
      </w:r>
      <w:r>
        <w:rPr>
          <w:rFonts w:ascii="Liberation Serif" w:hAnsi="Liberation Serif"/>
          <w:sz w:val="20"/>
          <w:szCs w:val="20"/>
        </w:rPr>
        <w:t>Κλειώ Καζάνα</w:t>
      </w:r>
      <w:r>
        <w:rPr>
          <w:rFonts w:ascii="Liberation Serif" w:hAnsi="Liberation Serif"/>
          <w:sz w:val="20"/>
          <w:szCs w:val="20"/>
        </w:rPr>
        <w:t xml:space="preserve"> 210 2209380, info@eellak.gr</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Carlito">
    <w:altName w:val="Calibri"/>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Lohit Devanagari">
    <w:charset w:val="01"/>
    <w:family w:val="roman"/>
    <w:pitch w:val="variable"/>
  </w:font>
  <w:font w:name="Noto Sans">
    <w:charset w:val="01"/>
    <w:family w:val="roman"/>
    <w:pitch w:val="variable"/>
  </w:font>
  <w:font w:name="Liberation Serif">
    <w:altName w:val="Times New Roman"/>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Fonts w:cs="OpenSymbol"/>
      </w:rPr>
    </w:lvl>
    <w:lvl w:ilvl="1">
      <w:start w:val="1"/>
      <w:numFmt w:val="bullet"/>
      <w:lvlText w:val=""/>
      <w:lvlJc w:val="left"/>
      <w:pPr>
        <w:tabs>
          <w:tab w:val="num" w:pos="1418"/>
        </w:tabs>
        <w:ind w:left="1418" w:hanging="283"/>
      </w:pPr>
      <w:rPr>
        <w:rFonts w:ascii="Symbol" w:hAnsi="Symbol" w:cs="Symbol" w:hint="default"/>
        <w:rFonts w:cs="OpenSymbol"/>
      </w:rPr>
    </w:lvl>
    <w:lvl w:ilvl="2">
      <w:start w:val="1"/>
      <w:numFmt w:val="bullet"/>
      <w:lvlText w:val=""/>
      <w:lvlJc w:val="left"/>
      <w:pPr>
        <w:tabs>
          <w:tab w:val="num" w:pos="2127"/>
        </w:tabs>
        <w:ind w:left="2127" w:hanging="283"/>
      </w:pPr>
      <w:rPr>
        <w:rFonts w:ascii="Symbol" w:hAnsi="Symbol" w:cs="Symbol" w:hint="default"/>
        <w:rFonts w:cs="OpenSymbol"/>
      </w:rPr>
    </w:lvl>
    <w:lvl w:ilvl="3">
      <w:start w:val="1"/>
      <w:numFmt w:val="bullet"/>
      <w:lvlText w:val=""/>
      <w:lvlJc w:val="left"/>
      <w:pPr>
        <w:tabs>
          <w:tab w:val="num" w:pos="2836"/>
        </w:tabs>
        <w:ind w:left="2836" w:hanging="283"/>
      </w:pPr>
      <w:rPr>
        <w:rFonts w:ascii="Symbol" w:hAnsi="Symbol" w:cs="Symbol" w:hint="default"/>
        <w:rFonts w:cs="OpenSymbol"/>
      </w:rPr>
    </w:lvl>
    <w:lvl w:ilvl="4">
      <w:start w:val="1"/>
      <w:numFmt w:val="bullet"/>
      <w:lvlText w:val=""/>
      <w:lvlJc w:val="left"/>
      <w:pPr>
        <w:tabs>
          <w:tab w:val="num" w:pos="3545"/>
        </w:tabs>
        <w:ind w:left="3545" w:hanging="283"/>
      </w:pPr>
      <w:rPr>
        <w:rFonts w:ascii="Symbol" w:hAnsi="Symbol" w:cs="Symbol" w:hint="default"/>
        <w:rFonts w:cs="OpenSymbol"/>
      </w:rPr>
    </w:lvl>
    <w:lvl w:ilvl="5">
      <w:start w:val="1"/>
      <w:numFmt w:val="bullet"/>
      <w:lvlText w:val=""/>
      <w:lvlJc w:val="left"/>
      <w:pPr>
        <w:tabs>
          <w:tab w:val="num" w:pos="4254"/>
        </w:tabs>
        <w:ind w:left="4254" w:hanging="283"/>
      </w:pPr>
      <w:rPr>
        <w:rFonts w:ascii="Symbol" w:hAnsi="Symbol" w:cs="Symbol" w:hint="default"/>
        <w:rFonts w:cs="OpenSymbol"/>
      </w:rPr>
    </w:lvl>
    <w:lvl w:ilvl="6">
      <w:start w:val="1"/>
      <w:numFmt w:val="bullet"/>
      <w:lvlText w:val=""/>
      <w:lvlJc w:val="left"/>
      <w:pPr>
        <w:tabs>
          <w:tab w:val="num" w:pos="4963"/>
        </w:tabs>
        <w:ind w:left="4963" w:hanging="283"/>
      </w:pPr>
      <w:rPr>
        <w:rFonts w:ascii="Symbol" w:hAnsi="Symbol" w:cs="Symbol" w:hint="default"/>
        <w:rFonts w:cs="OpenSymbol"/>
      </w:rPr>
    </w:lvl>
    <w:lvl w:ilvl="7">
      <w:start w:val="1"/>
      <w:numFmt w:val="bullet"/>
      <w:lvlText w:val=""/>
      <w:lvlJc w:val="left"/>
      <w:pPr>
        <w:tabs>
          <w:tab w:val="num" w:pos="5672"/>
        </w:tabs>
        <w:ind w:left="5672" w:hanging="283"/>
      </w:pPr>
      <w:rPr>
        <w:rFonts w:ascii="Symbol" w:hAnsi="Symbol" w:cs="Symbol" w:hint="default"/>
        <w:rFonts w:cs="OpenSymbol"/>
      </w:rPr>
    </w:lvl>
    <w:lvl w:ilvl="8">
      <w:start w:val="1"/>
      <w:numFmt w:val="bullet"/>
      <w:lvlText w:val=""/>
      <w:lvlJc w:val="left"/>
      <w:pPr>
        <w:tabs>
          <w:tab w:val="num" w:pos="6381"/>
        </w:tabs>
        <w:ind w:left="6381" w:hanging="283"/>
      </w:pPr>
      <w:rPr>
        <w:rFonts w:ascii="Symbol" w:hAnsi="Symbol" w:cs="Symbol" w:hint="default"/>
        <w:rFonts w:cs="OpenSymbol"/>
      </w:rPr>
    </w:lvl>
  </w:abstractNum>
  <w:abstractNum w:abstractNumId="3">
    <w:lvl w:ilvl="0">
      <w:start w:val="1"/>
      <w:numFmt w:val="bullet"/>
      <w:lvlText w:val=""/>
      <w:lvlJc w:val="left"/>
      <w:pPr>
        <w:tabs>
          <w:tab w:val="num" w:pos="709"/>
        </w:tabs>
        <w:ind w:left="709" w:hanging="283"/>
      </w:pPr>
      <w:rPr>
        <w:rFonts w:ascii="Symbol" w:hAnsi="Symbol" w:cs="Symbol" w:hint="default"/>
        <w:rFonts w:cs="OpenSymbol"/>
      </w:rPr>
    </w:lvl>
    <w:lvl w:ilvl="1">
      <w:start w:val="1"/>
      <w:numFmt w:val="bullet"/>
      <w:lvlText w:val=""/>
      <w:lvlJc w:val="left"/>
      <w:pPr>
        <w:tabs>
          <w:tab w:val="num" w:pos="1418"/>
        </w:tabs>
        <w:ind w:left="1418" w:hanging="283"/>
      </w:pPr>
      <w:rPr>
        <w:rFonts w:ascii="Symbol" w:hAnsi="Symbol" w:cs="Symbol" w:hint="default"/>
        <w:rFonts w:cs="OpenSymbol"/>
      </w:rPr>
    </w:lvl>
    <w:lvl w:ilvl="2">
      <w:start w:val="1"/>
      <w:numFmt w:val="bullet"/>
      <w:lvlText w:val=""/>
      <w:lvlJc w:val="left"/>
      <w:pPr>
        <w:tabs>
          <w:tab w:val="num" w:pos="2127"/>
        </w:tabs>
        <w:ind w:left="2127" w:hanging="283"/>
      </w:pPr>
      <w:rPr>
        <w:rFonts w:ascii="Symbol" w:hAnsi="Symbol" w:cs="Symbol" w:hint="default"/>
        <w:rFonts w:cs="OpenSymbol"/>
      </w:rPr>
    </w:lvl>
    <w:lvl w:ilvl="3">
      <w:start w:val="1"/>
      <w:numFmt w:val="bullet"/>
      <w:lvlText w:val=""/>
      <w:lvlJc w:val="left"/>
      <w:pPr>
        <w:tabs>
          <w:tab w:val="num" w:pos="2836"/>
        </w:tabs>
        <w:ind w:left="2836" w:hanging="283"/>
      </w:pPr>
      <w:rPr>
        <w:rFonts w:ascii="Symbol" w:hAnsi="Symbol" w:cs="Symbol" w:hint="default"/>
        <w:rFonts w:cs="OpenSymbol"/>
      </w:rPr>
    </w:lvl>
    <w:lvl w:ilvl="4">
      <w:start w:val="1"/>
      <w:numFmt w:val="bullet"/>
      <w:lvlText w:val=""/>
      <w:lvlJc w:val="left"/>
      <w:pPr>
        <w:tabs>
          <w:tab w:val="num" w:pos="3545"/>
        </w:tabs>
        <w:ind w:left="3545" w:hanging="283"/>
      </w:pPr>
      <w:rPr>
        <w:rFonts w:ascii="Symbol" w:hAnsi="Symbol" w:cs="Symbol" w:hint="default"/>
        <w:rFonts w:cs="OpenSymbol"/>
      </w:rPr>
    </w:lvl>
    <w:lvl w:ilvl="5">
      <w:start w:val="1"/>
      <w:numFmt w:val="bullet"/>
      <w:lvlText w:val=""/>
      <w:lvlJc w:val="left"/>
      <w:pPr>
        <w:tabs>
          <w:tab w:val="num" w:pos="4254"/>
        </w:tabs>
        <w:ind w:left="4254" w:hanging="283"/>
      </w:pPr>
      <w:rPr>
        <w:rFonts w:ascii="Symbol" w:hAnsi="Symbol" w:cs="Symbol" w:hint="default"/>
        <w:rFonts w:cs="OpenSymbol"/>
      </w:rPr>
    </w:lvl>
    <w:lvl w:ilvl="6">
      <w:start w:val="1"/>
      <w:numFmt w:val="bullet"/>
      <w:lvlText w:val=""/>
      <w:lvlJc w:val="left"/>
      <w:pPr>
        <w:tabs>
          <w:tab w:val="num" w:pos="4963"/>
        </w:tabs>
        <w:ind w:left="4963" w:hanging="283"/>
      </w:pPr>
      <w:rPr>
        <w:rFonts w:ascii="Symbol" w:hAnsi="Symbol" w:cs="Symbol" w:hint="default"/>
        <w:rFonts w:cs="OpenSymbol"/>
      </w:rPr>
    </w:lvl>
    <w:lvl w:ilvl="7">
      <w:start w:val="1"/>
      <w:numFmt w:val="bullet"/>
      <w:lvlText w:val=""/>
      <w:lvlJc w:val="left"/>
      <w:pPr>
        <w:tabs>
          <w:tab w:val="num" w:pos="5672"/>
        </w:tabs>
        <w:ind w:left="5672" w:hanging="283"/>
      </w:pPr>
      <w:rPr>
        <w:rFonts w:ascii="Symbol" w:hAnsi="Symbol" w:cs="Symbol" w:hint="default"/>
        <w:rFonts w:cs="OpenSymbol"/>
      </w:rPr>
    </w:lvl>
    <w:lvl w:ilvl="8">
      <w:start w:val="1"/>
      <w:numFmt w:val="bullet"/>
      <w:lvlText w:val=""/>
      <w:lvlJc w:val="left"/>
      <w:pPr>
        <w:tabs>
          <w:tab w:val="num" w:pos="6381"/>
        </w:tabs>
        <w:ind w:left="6381" w:hanging="283"/>
      </w:pPr>
      <w:rPr>
        <w:rFonts w:ascii="Symbol" w:hAnsi="Symbol" w:cs="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Cs w:val="24"/>
        <w:lang w:val="el-GR" w:eastAsia="zh-CN" w:bidi="hi-IN"/>
      </w:rPr>
    </w:rPrDefault>
    <w:pPrDefault>
      <w:pPr/>
    </w:pPrDefault>
  </w:docDefaults>
  <w:style w:type="paragraph" w:styleId="Normal">
    <w:name w:val="Normal"/>
    <w:qFormat/>
    <w:pPr>
      <w:keepNext w:val="false"/>
      <w:keepLines w:val="false"/>
      <w:pageBreakBefore w:val="false"/>
      <w:widowControl w:val="false"/>
      <w:suppressAutoHyphens w:val="true"/>
      <w:kinsoku w:val="true"/>
      <w:overflowPunct w:val="false"/>
      <w:autoSpaceDE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Heading1">
    <w:name w:val="Heading 1"/>
    <w:basedOn w:val="Heading"/>
    <w:next w:val="TextBody"/>
    <w:qFormat/>
    <w:pPr>
      <w:numPr>
        <w:ilvl w:val="0"/>
        <w:numId w:val="0"/>
      </w:numPr>
      <w:spacing w:before="240" w:after="120"/>
      <w:outlineLvl w:val="0"/>
    </w:pPr>
    <w:rPr>
      <w:rFonts w:ascii="Carlito" w:hAnsi="Carlito" w:eastAsia="Noto Serif SC" w:cs="Noto Sans Devanagari"/>
      <w:b/>
      <w:bCs/>
      <w:sz w:val="48"/>
      <w:szCs w:val="48"/>
    </w:rPr>
  </w:style>
  <w:style w:type="paragraph" w:styleId="Heading2">
    <w:name w:val="Heading 2"/>
    <w:basedOn w:val="Heading"/>
    <w:next w:val="TextBody"/>
    <w:qFormat/>
    <w:pPr>
      <w:numPr>
        <w:ilvl w:val="0"/>
        <w:numId w:val="0"/>
      </w:numPr>
      <w:spacing w:before="200" w:after="120"/>
      <w:outlineLvl w:val="1"/>
    </w:pPr>
    <w:rPr>
      <w:rFonts w:ascii="Carlito" w:hAnsi="Carlito" w:eastAsia="Noto Serif SC" w:cs="Noto Sans Devanagari"/>
      <w:b/>
      <w:bCs/>
      <w:sz w:val="36"/>
      <w:szCs w:val="36"/>
    </w:rPr>
  </w:style>
  <w:style w:type="paragraph" w:styleId="Heading3">
    <w:name w:val="Heading 3"/>
    <w:basedOn w:val="Heading"/>
    <w:next w:val="TextBody"/>
    <w:qFormat/>
    <w:pPr>
      <w:numPr>
        <w:ilvl w:val="0"/>
        <w:numId w:val="0"/>
      </w:numPr>
      <w:spacing w:before="140" w:after="120"/>
      <w:outlineLvl w:val="2"/>
    </w:pPr>
    <w:rPr>
      <w:rFonts w:ascii="Carlito" w:hAnsi="Carlito" w:eastAsia="Noto Serif SC" w:cs="Noto Sans Devanagari"/>
      <w:b/>
      <w:bCs/>
      <w:sz w:val="28"/>
      <w:szCs w:val="28"/>
    </w:rPr>
  </w:style>
  <w:style w:type="paragraph" w:styleId="Heading4">
    <w:name w:val="Heading 4"/>
    <w:basedOn w:val="Normal1"/>
    <w:next w:val="Normal"/>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
    <w:qFormat/>
    <w:pPr>
      <w:keepNext w:val="true"/>
      <w:keepLines/>
      <w:pageBreakBefore w:val="false"/>
      <w:spacing w:lineRule="auto" w:line="240" w:before="240" w:after="80"/>
    </w:pPr>
    <w:rPr>
      <w:i/>
      <w:color w:val="666666"/>
      <w:sz w:val="22"/>
      <w:szCs w:val="22"/>
    </w:rPr>
  </w:style>
  <w:style w:type="character" w:styleId="Style8">
    <w:name w:val="Προεπιλεγμένη γραμματοσειρά"/>
    <w:qFormat/>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rPr>
  </w:style>
  <w:style w:type="character" w:styleId="Style9">
    <w:name w:val="Υπερ-σύνδεση"/>
    <w:basedOn w:val="Style8"/>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character" w:styleId="ListLabel1">
    <w:name w:val="ListLabel 1"/>
    <w:qFormat/>
    <w:rPr>
      <w:rFonts w:ascii="Liberation Serif" w:hAnsi="Liberation Serif"/>
      <w:b w:val="false"/>
      <w:bCs w:val="false"/>
      <w:sz w:val="24"/>
      <w:szCs w:val="24"/>
      <w:u w:val="single"/>
    </w:rPr>
  </w:style>
  <w:style w:type="character" w:styleId="ListLabel2">
    <w:name w:val="ListLabel 2"/>
    <w:qFormat/>
    <w:rPr>
      <w:rFonts w:ascii="Liberation Sans" w:hAnsi="Liberation Sans"/>
      <w:sz w:val="20"/>
      <w:u w:val="single"/>
    </w:rPr>
  </w:style>
  <w:style w:type="character" w:styleId="NumberingSymbols">
    <w:name w:val="Numbering Symbols"/>
    <w:qFormat/>
    <w:rPr/>
  </w:style>
  <w:style w:type="paragraph" w:styleId="Heading">
    <w:name w:val="Heading"/>
    <w:basedOn w:val="Normal"/>
    <w:next w:val="TextBody"/>
    <w:qFormat/>
    <w:pPr>
      <w:keepNext w:val="true"/>
      <w:spacing w:before="240" w:after="283"/>
    </w:pPr>
    <w:rPr>
      <w:rFonts w:ascii="Carlito" w:hAnsi="Carlito" w:eastAsia="Noto Sans SC Regular" w:cs="Noto Sans Devanagari"/>
      <w:sz w:val="28"/>
      <w:szCs w:val="28"/>
    </w:rPr>
  </w:style>
  <w:style w:type="paragraph" w:styleId="TextBody">
    <w:name w:val="Body Text"/>
    <w:basedOn w:val="Normal"/>
    <w:pPr>
      <w:spacing w:lineRule="auto" w:line="276" w:before="0" w:after="283"/>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tyle10">
    <w:name w:val="Βασικό"/>
    <w:qFormat/>
    <w:pPr>
      <w:keepNext w:val="false"/>
      <w:keepLines w:val="false"/>
      <w:pageBreakBefore w:val="false"/>
      <w:widowControl w:val="false"/>
      <w:suppressAutoHyphens w:val="true"/>
      <w:kinsoku w:val="true"/>
      <w:overflowPunct w:val="false"/>
      <w:autoSpaceDE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Web">
    <w:name w:val="Κανονικό (Web)"/>
    <w:basedOn w:val="Style10"/>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basedOn w:val="Normal1"/>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itle">
    <w:name w:val="Title"/>
    <w:basedOn w:val="Normal1"/>
    <w:next w:val="Normal"/>
    <w:qFormat/>
    <w:pPr>
      <w:keepNext w:val="true"/>
      <w:keepLines/>
      <w:pageBreakBefore w:val="false"/>
      <w:spacing w:lineRule="auto" w:line="240" w:before="0" w:after="60"/>
    </w:pPr>
    <w:rPr>
      <w:sz w:val="52"/>
      <w:szCs w:val="52"/>
    </w:rPr>
  </w:style>
  <w:style w:type="paragraph" w:styleId="Normal1">
    <w:name w:val="normal1"/>
    <w:qFormat/>
    <w:pPr>
      <w:keepNext w:val="false"/>
      <w:keepLines w:val="false"/>
      <w:pageBreakBefore w:val="false"/>
      <w:widowControl/>
      <w:suppressAutoHyphens w:val="false"/>
      <w:kinsoku w:val="true"/>
      <w:overflowPunct w:val="false"/>
      <w:autoSpaceDE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TableContents">
    <w:name w:val="Table Contents"/>
    <w:basedOn w:val="Normal"/>
    <w:qFormat/>
    <w:pPr>
      <w:widowControl w:val="false"/>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rPr/>
  </w:style>
  <w:style w:type="paragraph" w:styleId="TableHeading">
    <w:name w:val="Table Heading"/>
    <w:basedOn w:val="TableContents"/>
    <w:qFormat/>
    <w:pPr>
      <w:suppressLineNumbers/>
      <w:jc w:val="center"/>
    </w:pPr>
    <w:rPr>
      <w:b/>
      <w:bCs/>
    </w:rPr>
  </w:style>
  <w:style w:type="paragraph" w:styleId="DefaultDrawingStyle">
    <w:name w:val="Default Drawing Style"/>
    <w:qFormat/>
    <w:pPr>
      <w:keepNext w:val="false"/>
      <w:keepLines w:val="false"/>
      <w:pageBreakBefore w:val="false"/>
      <w:widowControl w:val="false"/>
      <w:suppressAutoHyphens w:val="false"/>
      <w:kinsoku w:val="true"/>
      <w:overflowPunct w:val="false"/>
      <w:autoSpaceDE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36"/>
      <w:sz w:val="36"/>
      <w:szCs w:val="24"/>
      <w:u w:val="none"/>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
    <w:name w:val="default"/>
    <w:qFormat/>
    <w:pPr>
      <w:keepNext w:val="false"/>
      <w:keepLines w:val="false"/>
      <w:pageBreakBefore w:val="false"/>
      <w:widowControl w:val="false"/>
      <w:suppressAutoHyphens w:val="false"/>
      <w:kinsoku w:val="true"/>
      <w:overflowPunct w:val="false"/>
      <w:autoSpaceDE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Notes">
    <w:name w:val="Notes"/>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vertAlign w:val="baseline"/>
      <w:em w:val="none"/>
      <w:lang w:val="el-GR" w:eastAsia="zh-CN" w:bidi="hi-IN"/>
    </w:rPr>
  </w:style>
  <w:style w:type="paragraph" w:styleId="Outline1">
    <w:name w:val="Outline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LTHintergrund">
    <w:name w:val="Default~LT~Hintergr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cloud.ellak.gr/s/FCRyZBiMjoqrYFW" TargetMode="External"/><Relationship Id="rId4" Type="http://schemas.openxmlformats.org/officeDocument/2006/relationships/hyperlink" Target="https://cloud.ellak.gr/s/4R92KCbxnGXLxtL" TargetMode="External"/><Relationship Id="rId5" Type="http://schemas.openxmlformats.org/officeDocument/2006/relationships/hyperlink" Target="http://wiki.creativecommons.org/Greece" TargetMode="External"/><Relationship Id="rId6" Type="http://schemas.openxmlformats.org/officeDocument/2006/relationships/hyperlink" Target="http://www.communia-association.org/" TargetMode="External"/><Relationship Id="rId7" Type="http://schemas.openxmlformats.org/officeDocument/2006/relationships/hyperlink" Target="http://opendatainstitute.org/" TargetMode="External"/><Relationship Id="rId8" Type="http://schemas.openxmlformats.org/officeDocument/2006/relationships/hyperlink" Target="http://internationalbudget.org/what-we-do/major-ibp-initiatives/open-budget-initiative"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1958</TotalTime>
  <Application>LibreOffice/6.0.7.3$Linux_X86_64 LibreOffice_project/00m0$Build-3</Application>
  <Pages>2</Pages>
  <Words>621</Words>
  <Characters>4079</Characters>
  <CharactersWithSpaces>4671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el-GR</dc:language>
  <cp:lastModifiedBy/>
  <dcterms:modified xsi:type="dcterms:W3CDTF">2026-02-27T09:33:03Z</dcterms:modified>
  <cp:revision>393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